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6A134" w14:textId="33FA0D88" w:rsidR="00B505F5" w:rsidRPr="00863065" w:rsidRDefault="00B505F5" w:rsidP="00B505F5">
      <w:pPr>
        <w:pStyle w:val="a7"/>
        <w:tabs>
          <w:tab w:val="left" w:pos="709"/>
          <w:tab w:val="right" w:pos="9639"/>
        </w:tabs>
        <w:wordWrap w:val="0"/>
        <w:spacing w:after="0"/>
        <w:ind w:right="120"/>
        <w:jc w:val="right"/>
        <w:rPr>
          <w:rFonts w:cs="Arial"/>
          <w:lang w:eastAsia="ja-JP"/>
        </w:rPr>
      </w:pPr>
      <w:r w:rsidRPr="00863065">
        <w:rPr>
          <w:rFonts w:cs="Arial"/>
        </w:rPr>
        <w:t xml:space="preserve">3GPP </w:t>
      </w:r>
      <w:r w:rsidRPr="00863065">
        <w:rPr>
          <w:rFonts w:cs="Arial"/>
          <w:lang w:eastAsia="ja-JP"/>
        </w:rPr>
        <w:t>TSG-RAN</w:t>
      </w:r>
      <w:r>
        <w:rPr>
          <w:rFonts w:cs="Arial" w:hint="eastAsia"/>
          <w:lang w:eastAsia="ja-JP"/>
        </w:rPr>
        <w:t xml:space="preserve"> WG2 </w:t>
      </w:r>
      <w:r w:rsidRPr="00863065">
        <w:rPr>
          <w:rFonts w:cs="Arial"/>
          <w:lang w:eastAsia="ja-JP"/>
        </w:rPr>
        <w:t>#</w:t>
      </w:r>
      <w:r>
        <w:rPr>
          <w:rFonts w:cs="Arial"/>
          <w:lang w:eastAsia="ja-JP"/>
        </w:rPr>
        <w:t>122</w:t>
      </w:r>
      <w:r w:rsidRPr="00863065">
        <w:rPr>
          <w:rFonts w:cs="Arial"/>
        </w:rPr>
        <w:tab/>
        <w:t>R</w:t>
      </w:r>
      <w:r>
        <w:rPr>
          <w:rFonts w:cs="Arial" w:hint="eastAsia"/>
          <w:lang w:eastAsia="ja-JP"/>
        </w:rPr>
        <w:t>2</w:t>
      </w:r>
      <w:r w:rsidRPr="00863065">
        <w:rPr>
          <w:rFonts w:cs="Arial"/>
          <w:lang w:eastAsia="ja-JP"/>
        </w:rPr>
        <w:t>-</w:t>
      </w:r>
      <w:r w:rsidRPr="00422AAA">
        <w:rPr>
          <w:rFonts w:cs="Arial"/>
          <w:lang w:eastAsia="ja-JP"/>
        </w:rPr>
        <w:t>23</w:t>
      </w:r>
      <w:r w:rsidR="007C37AB">
        <w:rPr>
          <w:rFonts w:cs="Arial"/>
          <w:lang w:eastAsia="ja-JP"/>
        </w:rPr>
        <w:t>06332</w:t>
      </w:r>
    </w:p>
    <w:p w14:paraId="53130BC6" w14:textId="77777777" w:rsidR="00B505F5" w:rsidRPr="00863065" w:rsidRDefault="00B505F5" w:rsidP="00B505F5">
      <w:pPr>
        <w:pStyle w:val="a7"/>
        <w:tabs>
          <w:tab w:val="left" w:pos="709"/>
          <w:tab w:val="right" w:pos="9639"/>
        </w:tabs>
        <w:spacing w:after="0"/>
        <w:jc w:val="left"/>
        <w:rPr>
          <w:rFonts w:cs="Arial"/>
          <w:lang w:val="en-US" w:eastAsia="ja-JP"/>
        </w:rPr>
      </w:pPr>
      <w:r w:rsidRPr="005E52E2">
        <w:rPr>
          <w:rFonts w:cs="Arial"/>
          <w:szCs w:val="24"/>
        </w:rPr>
        <w:t>Incheon, South Korea</w:t>
      </w:r>
      <w:r>
        <w:rPr>
          <w:rFonts w:cs="Arial"/>
          <w:lang w:val="en-US" w:eastAsia="ja-JP"/>
        </w:rPr>
        <w:t>, 22</w:t>
      </w:r>
      <w:r>
        <w:rPr>
          <w:rFonts w:cs="Arial"/>
          <w:vertAlign w:val="superscript"/>
          <w:lang w:val="en-US" w:eastAsia="ja-JP"/>
        </w:rPr>
        <w:t>nd</w:t>
      </w:r>
      <w:r>
        <w:rPr>
          <w:rFonts w:cs="Arial"/>
          <w:lang w:val="en-US" w:eastAsia="ja-JP"/>
        </w:rPr>
        <w:t xml:space="preserve"> –</w:t>
      </w:r>
      <w:r>
        <w:rPr>
          <w:rFonts w:cs="Arial" w:hint="eastAsia"/>
          <w:lang w:val="en-US" w:eastAsia="ja-JP"/>
        </w:rPr>
        <w:t xml:space="preserve"> </w:t>
      </w:r>
      <w:r>
        <w:rPr>
          <w:rFonts w:cs="Arial"/>
          <w:lang w:val="en-US" w:eastAsia="ja-JP"/>
        </w:rPr>
        <w:t>26</w:t>
      </w:r>
      <w:r>
        <w:rPr>
          <w:rFonts w:cs="Arial"/>
          <w:vertAlign w:val="superscript"/>
          <w:lang w:val="en-US" w:eastAsia="ja-JP"/>
        </w:rPr>
        <w:t>th</w:t>
      </w:r>
      <w:r>
        <w:rPr>
          <w:rFonts w:cs="Arial"/>
          <w:lang w:val="en-US" w:eastAsia="ja-JP"/>
        </w:rPr>
        <w:t xml:space="preserve"> May </w:t>
      </w:r>
      <w:r w:rsidRPr="00802E96">
        <w:rPr>
          <w:rFonts w:cs="Arial"/>
          <w:lang w:val="en-US" w:eastAsia="ja-JP"/>
        </w:rPr>
        <w:t>20</w:t>
      </w:r>
      <w:r>
        <w:rPr>
          <w:rFonts w:cs="Arial"/>
          <w:lang w:val="en-US" w:eastAsia="ja-JP"/>
        </w:rPr>
        <w:t>23</w:t>
      </w:r>
    </w:p>
    <w:p w14:paraId="3AF895BC" w14:textId="77777777" w:rsidR="007E2FC8" w:rsidRPr="00B505F5" w:rsidRDefault="007E2FC8" w:rsidP="007E2FC8">
      <w:pPr>
        <w:pStyle w:val="a7"/>
        <w:pBdr>
          <w:bottom w:val="single" w:sz="4" w:space="1" w:color="auto"/>
        </w:pBdr>
        <w:tabs>
          <w:tab w:val="left" w:pos="709"/>
        </w:tabs>
        <w:spacing w:after="0"/>
        <w:jc w:val="left"/>
        <w:rPr>
          <w:rFonts w:cs="Arial"/>
          <w:lang w:val="en-US" w:eastAsia="ja-JP"/>
        </w:rPr>
      </w:pPr>
    </w:p>
    <w:p w14:paraId="6D9519F2" w14:textId="35536308" w:rsidR="007E2FC8" w:rsidRPr="00863065" w:rsidRDefault="007E2FC8" w:rsidP="007E2FC8">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Source:</w:t>
      </w:r>
      <w:r w:rsidR="002B674A">
        <w:rPr>
          <w:rFonts w:ascii="Arial" w:hAnsi="Arial" w:cs="Arial"/>
          <w:b/>
          <w:sz w:val="24"/>
          <w:lang w:val="en-US"/>
        </w:rPr>
        <w:tab/>
      </w:r>
      <w:r>
        <w:rPr>
          <w:rFonts w:ascii="Arial" w:hAnsi="Arial" w:cs="Arial" w:hint="eastAsia"/>
          <w:b/>
          <w:sz w:val="24"/>
          <w:lang w:val="en-US" w:eastAsia="ja-JP"/>
        </w:rPr>
        <w:t>NTT DOCOMO, INC.</w:t>
      </w:r>
    </w:p>
    <w:p w14:paraId="0C115227" w14:textId="179C9756" w:rsidR="007E2FC8" w:rsidRPr="00863065" w:rsidRDefault="007E2FC8" w:rsidP="002B674A">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Title:</w:t>
      </w:r>
      <w:r w:rsidR="002B674A">
        <w:rPr>
          <w:rFonts w:ascii="Arial" w:hAnsi="Arial" w:cs="Arial"/>
          <w:b/>
          <w:sz w:val="24"/>
        </w:rPr>
        <w:tab/>
      </w:r>
      <w:r w:rsidR="0084658A" w:rsidRPr="0084658A">
        <w:rPr>
          <w:rFonts w:ascii="Arial" w:hAnsi="Arial" w:cs="Arial"/>
          <w:b/>
          <w:sz w:val="24"/>
        </w:rPr>
        <w:t xml:space="preserve">Discussion on </w:t>
      </w:r>
      <w:r w:rsidR="00000985">
        <w:rPr>
          <w:rFonts w:ascii="Arial" w:hAnsi="Arial" w:cs="Arial"/>
          <w:b/>
          <w:sz w:val="24"/>
        </w:rPr>
        <w:t>Cell barring</w:t>
      </w:r>
      <w:r w:rsidR="0084658A" w:rsidRPr="0084658A">
        <w:rPr>
          <w:rFonts w:ascii="Arial" w:hAnsi="Arial" w:cs="Arial"/>
          <w:b/>
          <w:sz w:val="24"/>
        </w:rPr>
        <w:t xml:space="preserve"> for eRedCap</w:t>
      </w:r>
    </w:p>
    <w:p w14:paraId="0F8951C0" w14:textId="54BFF43A" w:rsidR="007E2FC8" w:rsidRPr="00863065" w:rsidRDefault="007E2FC8" w:rsidP="007E2FC8">
      <w:pPr>
        <w:keepNext/>
        <w:tabs>
          <w:tab w:val="left" w:pos="2552"/>
        </w:tabs>
        <w:rPr>
          <w:rFonts w:ascii="Arial" w:hAnsi="Arial" w:cs="Arial"/>
          <w:b/>
          <w:sz w:val="24"/>
          <w:lang w:eastAsia="ja-JP"/>
        </w:rPr>
      </w:pPr>
      <w:r w:rsidRPr="00863065">
        <w:rPr>
          <w:rFonts w:ascii="Arial" w:hAnsi="Arial" w:cs="Arial"/>
          <w:b/>
          <w:sz w:val="24"/>
        </w:rPr>
        <w:t>Document for:</w:t>
      </w:r>
      <w:r w:rsidR="002B674A">
        <w:rPr>
          <w:rFonts w:ascii="Arial" w:hAnsi="Arial" w:cs="Arial"/>
          <w:b/>
          <w:sz w:val="24"/>
        </w:rPr>
        <w:tab/>
      </w:r>
      <w:r>
        <w:rPr>
          <w:rFonts w:ascii="Arial" w:hAnsi="Arial" w:cs="Arial" w:hint="eastAsia"/>
          <w:b/>
          <w:sz w:val="24"/>
          <w:lang w:eastAsia="ja-JP"/>
        </w:rPr>
        <w:t>Discussion</w:t>
      </w:r>
    </w:p>
    <w:p w14:paraId="2211F357" w14:textId="559E04BA" w:rsidR="007E2FC8" w:rsidRPr="00863065" w:rsidRDefault="007E2FC8" w:rsidP="007E2FC8">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Agenda Item:</w:t>
      </w:r>
      <w:r w:rsidR="002B674A">
        <w:rPr>
          <w:rFonts w:ascii="Arial" w:hAnsi="Arial" w:cs="Arial"/>
          <w:b/>
          <w:sz w:val="24"/>
        </w:rPr>
        <w:tab/>
      </w:r>
      <w:r w:rsidR="00C46BFE">
        <w:rPr>
          <w:rFonts w:ascii="Arial" w:hAnsi="Arial" w:cs="Arial" w:hint="eastAsia"/>
          <w:b/>
          <w:sz w:val="24"/>
          <w:lang w:eastAsia="ja-JP"/>
        </w:rPr>
        <w:t>7</w:t>
      </w:r>
      <w:r>
        <w:rPr>
          <w:rFonts w:ascii="Arial" w:hAnsi="Arial" w:cs="Arial"/>
          <w:b/>
          <w:sz w:val="24"/>
          <w:lang w:eastAsia="ja-JP"/>
        </w:rPr>
        <w:t>.</w:t>
      </w:r>
      <w:r w:rsidR="00972AB4">
        <w:rPr>
          <w:rFonts w:ascii="Arial" w:hAnsi="Arial" w:cs="Arial"/>
          <w:b/>
          <w:sz w:val="24"/>
          <w:lang w:eastAsia="ja-JP"/>
        </w:rPr>
        <w:t>19</w:t>
      </w:r>
      <w:r>
        <w:rPr>
          <w:rFonts w:ascii="Arial" w:hAnsi="Arial" w:cs="Arial"/>
          <w:b/>
          <w:sz w:val="24"/>
          <w:lang w:eastAsia="ja-JP"/>
        </w:rPr>
        <w:t>.</w:t>
      </w:r>
      <w:r w:rsidR="00972AB4">
        <w:rPr>
          <w:rFonts w:ascii="Arial" w:hAnsi="Arial" w:cs="Arial"/>
          <w:b/>
          <w:sz w:val="24"/>
          <w:lang w:eastAsia="ja-JP"/>
        </w:rPr>
        <w:t>3</w:t>
      </w:r>
    </w:p>
    <w:p w14:paraId="25B11A1D" w14:textId="77777777" w:rsidR="007E2FC8" w:rsidRDefault="007E2FC8" w:rsidP="007E2FC8">
      <w:pPr>
        <w:pStyle w:val="2"/>
        <w:numPr>
          <w:ilvl w:val="0"/>
          <w:numId w:val="1"/>
        </w:numPr>
        <w:rPr>
          <w:rFonts w:cs="Arial"/>
          <w:lang w:eastAsia="ja-JP"/>
        </w:rPr>
      </w:pPr>
      <w:r w:rsidRPr="00863065">
        <w:rPr>
          <w:rFonts w:cs="Arial"/>
          <w:lang w:eastAsia="ja-JP"/>
        </w:rPr>
        <w:t>Introduction</w:t>
      </w:r>
    </w:p>
    <w:p w14:paraId="329DA70D" w14:textId="77777777" w:rsidR="0084658A" w:rsidRDefault="0084658A" w:rsidP="0084658A">
      <w:pPr>
        <w:spacing w:afterLines="50" w:after="120"/>
        <w:jc w:val="both"/>
        <w:rPr>
          <w:szCs w:val="22"/>
          <w:lang w:val="en-US"/>
        </w:rPr>
      </w:pPr>
      <w:r>
        <w:rPr>
          <w:szCs w:val="22"/>
          <w:lang w:val="en-US"/>
        </w:rPr>
        <w:t xml:space="preserve">A new WID on </w:t>
      </w:r>
      <w:r w:rsidRPr="00393DD9">
        <w:rPr>
          <w:szCs w:val="22"/>
          <w:lang w:val="en-US"/>
        </w:rPr>
        <w:t>further NR RedCap UE complexity reduction</w:t>
      </w:r>
      <w:r>
        <w:rPr>
          <w:szCs w:val="22"/>
          <w:lang w:val="en-US"/>
        </w:rPr>
        <w:t xml:space="preserve"> (</w:t>
      </w:r>
      <w:r w:rsidRPr="00393DD9">
        <w:rPr>
          <w:szCs w:val="22"/>
          <w:lang w:val="en-US"/>
        </w:rPr>
        <w:t>FS_NR_redcap_enh</w:t>
      </w:r>
      <w:r>
        <w:rPr>
          <w:szCs w:val="22"/>
          <w:lang w:val="en-US"/>
        </w:rPr>
        <w:t>) was approved at the RAN#97-e meeting and revised at the RAN#98-e meeting</w:t>
      </w:r>
      <w:r>
        <w:rPr>
          <w:rFonts w:hint="eastAsia"/>
          <w:szCs w:val="22"/>
          <w:lang w:val="en-US"/>
        </w:rPr>
        <w:t xml:space="preserve"> </w:t>
      </w:r>
      <w:r>
        <w:rPr>
          <w:szCs w:val="22"/>
          <w:lang w:val="en-US"/>
        </w:rPr>
        <w:t>[1]. The objectives of the WI are shown below.</w:t>
      </w:r>
    </w:p>
    <w:tbl>
      <w:tblPr>
        <w:tblStyle w:val="ac"/>
        <w:tblW w:w="0" w:type="auto"/>
        <w:tblLook w:val="04A0" w:firstRow="1" w:lastRow="0" w:firstColumn="1" w:lastColumn="0" w:noHBand="0" w:noVBand="1"/>
      </w:tblPr>
      <w:tblGrid>
        <w:gridCol w:w="9628"/>
      </w:tblGrid>
      <w:tr w:rsidR="0084658A" w14:paraId="295CC06B" w14:textId="77777777" w:rsidTr="00E56A68">
        <w:tc>
          <w:tcPr>
            <w:tcW w:w="9628" w:type="dxa"/>
          </w:tcPr>
          <w:p w14:paraId="651E62BB" w14:textId="77777777" w:rsidR="0084658A" w:rsidRPr="001F25AA" w:rsidRDefault="0084658A" w:rsidP="00E56A68">
            <w:pPr>
              <w:ind w:right="-99"/>
              <w:jc w:val="both"/>
              <w:rPr>
                <w:szCs w:val="18"/>
              </w:rPr>
            </w:pPr>
            <w:r w:rsidRPr="001F25AA">
              <w:rPr>
                <w:szCs w:val="18"/>
              </w:rPr>
              <w:t xml:space="preserve">The objective is to specify support for the following enhancements: </w:t>
            </w:r>
          </w:p>
          <w:p w14:paraId="59BE84F0" w14:textId="77777777" w:rsidR="0084658A" w:rsidRPr="001F25AA" w:rsidRDefault="0084658A" w:rsidP="00E56A68">
            <w:pPr>
              <w:ind w:right="-99"/>
              <w:rPr>
                <w:b/>
                <w:bCs/>
                <w:szCs w:val="18"/>
              </w:rPr>
            </w:pPr>
            <w:r w:rsidRPr="001F25AA">
              <w:rPr>
                <w:b/>
                <w:bCs/>
                <w:szCs w:val="18"/>
              </w:rPr>
              <w:t>Power saving/energy efficiency enhancements</w:t>
            </w:r>
          </w:p>
          <w:p w14:paraId="7CFEBF54" w14:textId="77777777" w:rsidR="0084658A" w:rsidRPr="001F25AA" w:rsidRDefault="0084658A" w:rsidP="0084658A">
            <w:pPr>
              <w:numPr>
                <w:ilvl w:val="0"/>
                <w:numId w:val="19"/>
              </w:numPr>
              <w:overflowPunct w:val="0"/>
              <w:autoSpaceDE w:val="0"/>
              <w:autoSpaceDN w:val="0"/>
              <w:adjustRightInd w:val="0"/>
              <w:ind w:right="-99"/>
              <w:textAlignment w:val="baseline"/>
              <w:rPr>
                <w:szCs w:val="18"/>
              </w:rPr>
            </w:pPr>
            <w:r w:rsidRPr="001F25AA">
              <w:rPr>
                <w:szCs w:val="18"/>
              </w:rPr>
              <w:t>Enhanced eDRX in RRC_INACTIVE (&gt;10.24s) [RAN2, RAN3, RAN4]</w:t>
            </w:r>
          </w:p>
          <w:p w14:paraId="53FEF90B" w14:textId="77777777" w:rsidR="0084658A" w:rsidRPr="001F25AA" w:rsidRDefault="0084658A" w:rsidP="0084658A">
            <w:pPr>
              <w:numPr>
                <w:ilvl w:val="1"/>
                <w:numId w:val="19"/>
              </w:numPr>
              <w:overflowPunct w:val="0"/>
              <w:autoSpaceDE w:val="0"/>
              <w:autoSpaceDN w:val="0"/>
              <w:adjustRightInd w:val="0"/>
              <w:ind w:right="-99"/>
              <w:textAlignment w:val="baseline"/>
              <w:rPr>
                <w:szCs w:val="18"/>
              </w:rPr>
            </w:pPr>
            <w:r w:rsidRPr="001F25AA">
              <w:rPr>
                <w:rFonts w:hint="eastAsia"/>
                <w:szCs w:val="18"/>
              </w:rPr>
              <w:t xml:space="preserve">Note that this objective requires SA2 </w:t>
            </w:r>
            <w:r w:rsidRPr="001F25AA">
              <w:rPr>
                <w:szCs w:val="18"/>
              </w:rPr>
              <w:t xml:space="preserve">and </w:t>
            </w:r>
            <w:r w:rsidRPr="001F25AA">
              <w:rPr>
                <w:rFonts w:hint="eastAsia"/>
                <w:szCs w:val="18"/>
              </w:rPr>
              <w:t>CT1</w:t>
            </w:r>
            <w:r w:rsidRPr="001F25AA">
              <w:rPr>
                <w:szCs w:val="18"/>
              </w:rPr>
              <w:t xml:space="preserve"> </w:t>
            </w:r>
            <w:r w:rsidRPr="001F25AA">
              <w:rPr>
                <w:rFonts w:hint="eastAsia"/>
                <w:szCs w:val="18"/>
              </w:rPr>
              <w:t>involvement</w:t>
            </w:r>
          </w:p>
          <w:p w14:paraId="77A4FAD4" w14:textId="77777777" w:rsidR="0084658A" w:rsidRPr="001F25AA" w:rsidRDefault="0084658A" w:rsidP="00E56A68">
            <w:pPr>
              <w:ind w:right="-99"/>
              <w:rPr>
                <w:b/>
                <w:bCs/>
                <w:szCs w:val="18"/>
              </w:rPr>
            </w:pPr>
            <w:r w:rsidRPr="001F25AA">
              <w:rPr>
                <w:b/>
                <w:bCs/>
                <w:szCs w:val="18"/>
              </w:rPr>
              <w:t>Complexity/cost reduction</w:t>
            </w:r>
          </w:p>
          <w:p w14:paraId="0F377D12" w14:textId="77777777" w:rsidR="0084658A" w:rsidRPr="001F25AA" w:rsidRDefault="0084658A" w:rsidP="0084658A">
            <w:pPr>
              <w:numPr>
                <w:ilvl w:val="0"/>
                <w:numId w:val="20"/>
              </w:numPr>
              <w:overflowPunct w:val="0"/>
              <w:autoSpaceDE w:val="0"/>
              <w:autoSpaceDN w:val="0"/>
              <w:adjustRightInd w:val="0"/>
              <w:ind w:right="-99"/>
              <w:textAlignment w:val="baseline"/>
              <w:rPr>
                <w:szCs w:val="18"/>
              </w:rPr>
            </w:pPr>
            <w:r w:rsidRPr="001F25AA">
              <w:rPr>
                <w:szCs w:val="18"/>
              </w:rPr>
              <w:t>Further reduced UE complexity in FR1 [RAN1, RAN2, RAN4]</w:t>
            </w:r>
          </w:p>
          <w:p w14:paraId="5EC5DE4C" w14:textId="77777777" w:rsidR="0084658A" w:rsidRPr="001F25AA" w:rsidRDefault="0084658A" w:rsidP="0084658A">
            <w:pPr>
              <w:pStyle w:val="B2"/>
              <w:numPr>
                <w:ilvl w:val="1"/>
                <w:numId w:val="19"/>
              </w:numPr>
              <w:rPr>
                <w:sz w:val="22"/>
                <w:szCs w:val="18"/>
                <w:lang w:val="en-US"/>
              </w:rPr>
            </w:pPr>
            <w:r w:rsidRPr="001F25AA">
              <w:rPr>
                <w:sz w:val="22"/>
                <w:szCs w:val="18"/>
                <w:lang w:val="en-US"/>
              </w:rPr>
              <w:t>UE BB bandwidth reduction</w:t>
            </w:r>
          </w:p>
          <w:p w14:paraId="67EE03BE" w14:textId="77777777" w:rsidR="0084658A" w:rsidRPr="001F25AA" w:rsidRDefault="0084658A" w:rsidP="0084658A">
            <w:pPr>
              <w:pStyle w:val="B2"/>
              <w:numPr>
                <w:ilvl w:val="2"/>
                <w:numId w:val="19"/>
              </w:numPr>
              <w:rPr>
                <w:sz w:val="22"/>
                <w:szCs w:val="18"/>
                <w:lang w:val="en-US"/>
              </w:rPr>
            </w:pPr>
            <w:r w:rsidRPr="001F25AA">
              <w:rPr>
                <w:sz w:val="22"/>
                <w:szCs w:val="18"/>
                <w:lang w:val="en-US"/>
              </w:rPr>
              <w:t>5 MHz BB bandwidth only for PDSCH (for both unicast and broadcast) and PUSCH, with 20 MHz RF bandwidth for UL and DL</w:t>
            </w:r>
          </w:p>
          <w:p w14:paraId="31126CB6" w14:textId="77777777" w:rsidR="0084658A" w:rsidRDefault="0084658A" w:rsidP="0084658A">
            <w:pPr>
              <w:pStyle w:val="B2"/>
              <w:numPr>
                <w:ilvl w:val="2"/>
                <w:numId w:val="19"/>
              </w:numPr>
              <w:rPr>
                <w:sz w:val="22"/>
                <w:szCs w:val="18"/>
                <w:lang w:val="en-US"/>
              </w:rPr>
            </w:pPr>
            <w:r w:rsidRPr="001F25AA">
              <w:rPr>
                <w:sz w:val="22"/>
                <w:szCs w:val="18"/>
                <w:lang w:val="en-US"/>
              </w:rPr>
              <w:t>The other physical channels and signals are still allowed to use a BWP up to the 20 MHz maximum UE RF+BB bandwidth.</w:t>
            </w:r>
          </w:p>
          <w:p w14:paraId="2AE1500B" w14:textId="77777777" w:rsidR="0084658A" w:rsidRPr="001F25AA" w:rsidRDefault="0084658A" w:rsidP="0084658A">
            <w:pPr>
              <w:pStyle w:val="B2"/>
              <w:numPr>
                <w:ilvl w:val="2"/>
                <w:numId w:val="19"/>
              </w:numPr>
              <w:rPr>
                <w:sz w:val="22"/>
                <w:szCs w:val="18"/>
                <w:lang w:val="en-US"/>
              </w:rPr>
            </w:pPr>
            <w:r w:rsidRPr="005C155D">
              <w:rPr>
                <w:sz w:val="22"/>
                <w:szCs w:val="18"/>
                <w:lang w:val="en-US"/>
              </w:rPr>
              <w:t>Support additional separate early indication(s) [RAN1, RAN2]</w:t>
            </w:r>
          </w:p>
          <w:p w14:paraId="20C88C3E" w14:textId="77777777" w:rsidR="0084658A" w:rsidRPr="001F25AA" w:rsidRDefault="0084658A" w:rsidP="0084658A">
            <w:pPr>
              <w:numPr>
                <w:ilvl w:val="1"/>
                <w:numId w:val="19"/>
              </w:numPr>
              <w:overflowPunct w:val="0"/>
              <w:autoSpaceDE w:val="0"/>
              <w:autoSpaceDN w:val="0"/>
              <w:adjustRightInd w:val="0"/>
              <w:ind w:right="-99"/>
              <w:textAlignment w:val="baseline"/>
              <w:rPr>
                <w:szCs w:val="18"/>
              </w:rPr>
            </w:pPr>
            <w:r w:rsidRPr="001F25AA">
              <w:rPr>
                <w:szCs w:val="18"/>
              </w:rPr>
              <w:t>UE peak data rate reduction</w:t>
            </w:r>
          </w:p>
          <w:p w14:paraId="48B8DC9F" w14:textId="77777777" w:rsidR="0084658A" w:rsidRPr="001F25AA" w:rsidRDefault="0084658A" w:rsidP="0084658A">
            <w:pPr>
              <w:pStyle w:val="B2"/>
              <w:numPr>
                <w:ilvl w:val="2"/>
                <w:numId w:val="19"/>
              </w:numPr>
              <w:rPr>
                <w:sz w:val="22"/>
                <w:szCs w:val="18"/>
                <w:lang w:val="en-US"/>
              </w:rPr>
            </w:pPr>
            <w:r w:rsidRPr="001F25AA">
              <w:rPr>
                <w:sz w:val="22"/>
                <w:szCs w:val="18"/>
                <w:lang w:val="en-US"/>
              </w:rPr>
              <w:t>Relaxation of the constraint (</w:t>
            </w:r>
            <w:r w:rsidRPr="001F25AA">
              <w:rPr>
                <w:i/>
                <w:iCs/>
                <w:sz w:val="22"/>
                <w:szCs w:val="18"/>
                <w:lang w:val="en-US"/>
              </w:rPr>
              <w:t>v</w:t>
            </w:r>
            <w:r w:rsidRPr="001F25AA">
              <w:rPr>
                <w:i/>
                <w:iCs/>
                <w:sz w:val="22"/>
                <w:szCs w:val="18"/>
                <w:vertAlign w:val="subscript"/>
                <w:lang w:val="en-US"/>
              </w:rPr>
              <w:t>Layers</w:t>
            </w:r>
            <w:r w:rsidRPr="001F25AA">
              <w:rPr>
                <w:sz w:val="22"/>
                <w:szCs w:val="18"/>
                <w:lang w:val="en-US"/>
              </w:rPr>
              <w:t>·</w:t>
            </w:r>
            <w:r w:rsidRPr="001F25AA">
              <w:rPr>
                <w:i/>
                <w:iCs/>
                <w:sz w:val="22"/>
                <w:szCs w:val="18"/>
                <w:lang w:val="en-US"/>
              </w:rPr>
              <w:t>Q</w:t>
            </w:r>
            <w:r w:rsidRPr="001F25AA">
              <w:rPr>
                <w:i/>
                <w:iCs/>
                <w:sz w:val="22"/>
                <w:szCs w:val="18"/>
                <w:vertAlign w:val="subscript"/>
                <w:lang w:val="en-US"/>
              </w:rPr>
              <w:t>m</w:t>
            </w:r>
            <w:r w:rsidRPr="001F25AA">
              <w:rPr>
                <w:sz w:val="22"/>
                <w:szCs w:val="18"/>
                <w:lang w:val="en-US"/>
              </w:rPr>
              <w:t>·</w:t>
            </w:r>
            <w:r w:rsidRPr="001F25AA">
              <w:rPr>
                <w:i/>
                <w:iCs/>
                <w:sz w:val="22"/>
                <w:szCs w:val="18"/>
                <w:lang w:val="en-US"/>
              </w:rPr>
              <w:t>f</w:t>
            </w:r>
            <w:r w:rsidRPr="001F25AA">
              <w:rPr>
                <w:sz w:val="22"/>
                <w:szCs w:val="18"/>
                <w:lang w:val="en-US"/>
              </w:rPr>
              <w:t xml:space="preserve"> ≥ 4) for peak data rate reduction</w:t>
            </w:r>
          </w:p>
          <w:p w14:paraId="76F49F24" w14:textId="77777777" w:rsidR="0084658A" w:rsidRPr="001F25AA" w:rsidRDefault="0084658A" w:rsidP="0084658A">
            <w:pPr>
              <w:pStyle w:val="B2"/>
              <w:numPr>
                <w:ilvl w:val="2"/>
                <w:numId w:val="19"/>
              </w:numPr>
              <w:rPr>
                <w:sz w:val="22"/>
                <w:szCs w:val="18"/>
                <w:lang w:val="en-US"/>
              </w:rPr>
            </w:pPr>
            <w:r w:rsidRPr="001F25AA">
              <w:rPr>
                <w:sz w:val="22"/>
                <w:szCs w:val="18"/>
                <w:lang w:val="en-US"/>
              </w:rPr>
              <w:t>The relaxed constraint is, e.g., 1 (instead of 4).</w:t>
            </w:r>
          </w:p>
          <w:p w14:paraId="218A310D" w14:textId="77777777" w:rsidR="0084658A" w:rsidRPr="001F25AA" w:rsidRDefault="0084658A" w:rsidP="0084658A">
            <w:pPr>
              <w:pStyle w:val="B2"/>
              <w:numPr>
                <w:ilvl w:val="2"/>
                <w:numId w:val="19"/>
              </w:numPr>
              <w:rPr>
                <w:sz w:val="22"/>
                <w:szCs w:val="18"/>
                <w:lang w:val="en-US"/>
              </w:rPr>
            </w:pPr>
            <w:r w:rsidRPr="001F25AA">
              <w:rPr>
                <w:sz w:val="22"/>
                <w:szCs w:val="18"/>
                <w:lang w:val="en-US"/>
              </w:rPr>
              <w:t>The parameters (</w:t>
            </w:r>
            <w:r w:rsidRPr="001F25AA">
              <w:rPr>
                <w:i/>
                <w:iCs/>
                <w:sz w:val="22"/>
                <w:szCs w:val="18"/>
                <w:lang w:val="en-US"/>
              </w:rPr>
              <w:t>v</w:t>
            </w:r>
            <w:r w:rsidRPr="001F25AA">
              <w:rPr>
                <w:i/>
                <w:iCs/>
                <w:sz w:val="22"/>
                <w:szCs w:val="18"/>
                <w:vertAlign w:val="subscript"/>
                <w:lang w:val="en-US"/>
              </w:rPr>
              <w:t>Layers</w:t>
            </w:r>
            <w:r w:rsidRPr="001F25AA">
              <w:rPr>
                <w:sz w:val="22"/>
                <w:szCs w:val="18"/>
                <w:lang w:val="en-US"/>
              </w:rPr>
              <w:t xml:space="preserve">, </w:t>
            </w:r>
            <w:r w:rsidRPr="001F25AA">
              <w:rPr>
                <w:i/>
                <w:iCs/>
                <w:sz w:val="22"/>
                <w:szCs w:val="18"/>
                <w:lang w:val="en-US"/>
              </w:rPr>
              <w:t>Q</w:t>
            </w:r>
            <w:r w:rsidRPr="001F25AA">
              <w:rPr>
                <w:i/>
                <w:iCs/>
                <w:sz w:val="22"/>
                <w:szCs w:val="18"/>
                <w:vertAlign w:val="subscript"/>
                <w:lang w:val="en-US"/>
              </w:rPr>
              <w:t>m</w:t>
            </w:r>
            <w:r w:rsidRPr="001F25AA">
              <w:rPr>
                <w:sz w:val="22"/>
                <w:szCs w:val="18"/>
                <w:lang w:val="en-US"/>
              </w:rPr>
              <w:t xml:space="preserve">, </w:t>
            </w:r>
            <w:r w:rsidRPr="001F25AA">
              <w:rPr>
                <w:i/>
                <w:iCs/>
                <w:sz w:val="22"/>
                <w:szCs w:val="18"/>
                <w:lang w:val="en-US"/>
              </w:rPr>
              <w:t>f</w:t>
            </w:r>
            <w:r w:rsidRPr="001F25AA">
              <w:rPr>
                <w:sz w:val="22"/>
                <w:szCs w:val="18"/>
                <w:lang w:val="en-US"/>
              </w:rPr>
              <w:t>) can be as in Rel-17 RedCap.</w:t>
            </w:r>
          </w:p>
          <w:p w14:paraId="4D8874B2" w14:textId="77777777" w:rsidR="0084658A" w:rsidRPr="001F25AA" w:rsidRDefault="0084658A" w:rsidP="0084658A">
            <w:pPr>
              <w:pStyle w:val="B1"/>
              <w:numPr>
                <w:ilvl w:val="1"/>
                <w:numId w:val="19"/>
              </w:numPr>
              <w:overflowPunct w:val="0"/>
              <w:autoSpaceDE w:val="0"/>
              <w:autoSpaceDN w:val="0"/>
              <w:adjustRightInd w:val="0"/>
              <w:ind w:left="1380"/>
              <w:textAlignment w:val="baseline"/>
              <w:rPr>
                <w:sz w:val="22"/>
                <w:szCs w:val="18"/>
                <w:lang w:val="en-US"/>
              </w:rPr>
            </w:pPr>
            <w:r w:rsidRPr="001F25AA">
              <w:rPr>
                <w:sz w:val="22"/>
                <w:szCs w:val="18"/>
                <w:lang w:val="en-US"/>
              </w:rPr>
              <w:t>Both 15 kHz SCS and 30 kHz SCS are supported.</w:t>
            </w:r>
          </w:p>
          <w:p w14:paraId="06F1BA9E" w14:textId="77777777" w:rsidR="0084658A" w:rsidRPr="001F25AA" w:rsidRDefault="0084658A" w:rsidP="0084658A">
            <w:pPr>
              <w:pStyle w:val="B1"/>
              <w:numPr>
                <w:ilvl w:val="1"/>
                <w:numId w:val="19"/>
              </w:numPr>
              <w:overflowPunct w:val="0"/>
              <w:autoSpaceDE w:val="0"/>
              <w:autoSpaceDN w:val="0"/>
              <w:adjustRightInd w:val="0"/>
              <w:ind w:left="1380"/>
              <w:textAlignment w:val="baseline"/>
              <w:rPr>
                <w:sz w:val="22"/>
                <w:szCs w:val="18"/>
                <w:lang w:val="en-US"/>
              </w:rPr>
            </w:pPr>
            <w:r w:rsidRPr="001F25AA">
              <w:rPr>
                <w:sz w:val="22"/>
                <w:szCs w:val="18"/>
                <w:lang w:val="en-US"/>
              </w:rPr>
              <w:t>Aim to define at most one Rel-18 RedCap UE type for further UE complexity reduction.</w:t>
            </w:r>
          </w:p>
          <w:p w14:paraId="0290ECBC" w14:textId="77777777" w:rsidR="0084658A" w:rsidRPr="001F25AA" w:rsidRDefault="0084658A" w:rsidP="0084658A">
            <w:pPr>
              <w:numPr>
                <w:ilvl w:val="1"/>
                <w:numId w:val="19"/>
              </w:numPr>
              <w:overflowPunct w:val="0"/>
              <w:autoSpaceDE w:val="0"/>
              <w:autoSpaceDN w:val="0"/>
              <w:adjustRightInd w:val="0"/>
              <w:ind w:right="-99"/>
              <w:textAlignment w:val="baseline"/>
              <w:rPr>
                <w:szCs w:val="18"/>
              </w:rPr>
            </w:pPr>
            <w:r w:rsidRPr="001F25AA">
              <w:rPr>
                <w:szCs w:val="18"/>
              </w:rPr>
              <w:t>The existing UE capability framework is used, and changes to capability signalling are specified only if necessary. By default, all UE capabilities applicable to a Rel-17 RedCap UE are applicable unless otherwise specified.</w:t>
            </w:r>
          </w:p>
          <w:p w14:paraId="0CD697A8" w14:textId="77777777" w:rsidR="0084658A" w:rsidRPr="001F25AA" w:rsidRDefault="0084658A" w:rsidP="00E56A68">
            <w:pPr>
              <w:pStyle w:val="B2"/>
              <w:ind w:left="0" w:firstLine="0"/>
              <w:rPr>
                <w:sz w:val="22"/>
                <w:szCs w:val="18"/>
                <w:lang w:val="en-US"/>
              </w:rPr>
            </w:pPr>
            <w:r w:rsidRPr="001F25AA">
              <w:rPr>
                <w:sz w:val="22"/>
                <w:szCs w:val="18"/>
                <w:lang w:val="en-US"/>
              </w:rPr>
              <w:t>Notes:</w:t>
            </w:r>
          </w:p>
          <w:p w14:paraId="1F84B3B8" w14:textId="77777777" w:rsidR="0084658A" w:rsidRPr="001F25AA" w:rsidRDefault="0084658A" w:rsidP="0084658A">
            <w:pPr>
              <w:pStyle w:val="B1"/>
              <w:numPr>
                <w:ilvl w:val="0"/>
                <w:numId w:val="21"/>
              </w:numPr>
              <w:overflowPunct w:val="0"/>
              <w:autoSpaceDE w:val="0"/>
              <w:autoSpaceDN w:val="0"/>
              <w:adjustRightInd w:val="0"/>
              <w:ind w:left="1320"/>
              <w:textAlignment w:val="baseline"/>
              <w:rPr>
                <w:sz w:val="22"/>
                <w:szCs w:val="18"/>
                <w:lang w:val="en-US"/>
              </w:rPr>
            </w:pPr>
            <w:r w:rsidRPr="001F25AA">
              <w:rPr>
                <w:sz w:val="22"/>
                <w:szCs w:val="18"/>
                <w:lang w:val="en-US"/>
              </w:rPr>
              <w:t>The work defined as part of this WI is not to overlap with LPWA use cases.</w:t>
            </w:r>
          </w:p>
          <w:p w14:paraId="40EF6058" w14:textId="77777777" w:rsidR="0084658A" w:rsidRPr="001F25AA" w:rsidRDefault="0084658A" w:rsidP="0084658A">
            <w:pPr>
              <w:pStyle w:val="B1"/>
              <w:numPr>
                <w:ilvl w:val="0"/>
                <w:numId w:val="21"/>
              </w:numPr>
              <w:overflowPunct w:val="0"/>
              <w:autoSpaceDE w:val="0"/>
              <w:autoSpaceDN w:val="0"/>
              <w:adjustRightInd w:val="0"/>
              <w:ind w:left="1320"/>
              <w:textAlignment w:val="baseline"/>
              <w:rPr>
                <w:sz w:val="22"/>
                <w:szCs w:val="18"/>
                <w:lang w:val="en-US"/>
              </w:rPr>
            </w:pPr>
            <w:r w:rsidRPr="001F25AA">
              <w:rPr>
                <w:sz w:val="22"/>
                <w:szCs w:val="18"/>
                <w:lang w:val="en-US"/>
              </w:rPr>
              <w:t xml:space="preserve">Coexistence with non-RedCap UEs and Rel-17 RedCap UEs </w:t>
            </w:r>
            <w:r w:rsidRPr="001F25AA">
              <w:rPr>
                <w:sz w:val="22"/>
                <w:szCs w:val="18"/>
              </w:rPr>
              <w:t xml:space="preserve">should </w:t>
            </w:r>
            <w:r w:rsidRPr="001F25AA">
              <w:rPr>
                <w:sz w:val="22"/>
                <w:szCs w:val="18"/>
                <w:lang w:val="en-US"/>
              </w:rPr>
              <w:t>be ensured.</w:t>
            </w:r>
          </w:p>
          <w:p w14:paraId="3A4FD7A3" w14:textId="77777777" w:rsidR="0084658A" w:rsidRPr="001F25AA" w:rsidRDefault="0084658A" w:rsidP="0084658A">
            <w:pPr>
              <w:pStyle w:val="B1"/>
              <w:numPr>
                <w:ilvl w:val="0"/>
                <w:numId w:val="21"/>
              </w:numPr>
              <w:overflowPunct w:val="0"/>
              <w:autoSpaceDE w:val="0"/>
              <w:autoSpaceDN w:val="0"/>
              <w:adjustRightInd w:val="0"/>
              <w:ind w:left="1320"/>
              <w:textAlignment w:val="baseline"/>
              <w:rPr>
                <w:sz w:val="22"/>
                <w:szCs w:val="18"/>
                <w:lang w:val="en-US"/>
              </w:rPr>
            </w:pPr>
            <w:r w:rsidRPr="001F25AA">
              <w:rPr>
                <w:sz w:val="22"/>
                <w:szCs w:val="18"/>
                <w:lang w:val="en-US"/>
              </w:rPr>
              <w:t>This WI considers all applicable duplex modes unless otherwise specified.</w:t>
            </w:r>
          </w:p>
          <w:p w14:paraId="24106B46" w14:textId="77777777" w:rsidR="0084658A" w:rsidRPr="001F25AA" w:rsidRDefault="0084658A" w:rsidP="00E56A68">
            <w:pPr>
              <w:pStyle w:val="B1"/>
              <w:ind w:left="0" w:firstLine="0"/>
              <w:rPr>
                <w:sz w:val="22"/>
                <w:szCs w:val="18"/>
                <w:lang w:val="en-US"/>
              </w:rPr>
            </w:pPr>
            <w:r w:rsidRPr="001F25AA">
              <w:rPr>
                <w:sz w:val="22"/>
                <w:szCs w:val="18"/>
                <w:lang w:val="en-US"/>
              </w:rPr>
              <w:lastRenderedPageBreak/>
              <w:t>Check in RAN#9</w:t>
            </w:r>
            <w:r>
              <w:rPr>
                <w:sz w:val="22"/>
                <w:szCs w:val="18"/>
                <w:lang w:val="en-US"/>
              </w:rPr>
              <w:t>9</w:t>
            </w:r>
            <w:r w:rsidRPr="001F25AA">
              <w:rPr>
                <w:sz w:val="22"/>
                <w:szCs w:val="18"/>
                <w:lang w:val="en-US"/>
              </w:rPr>
              <w:t>-e regarding:</w:t>
            </w:r>
          </w:p>
          <w:p w14:paraId="24F014DA" w14:textId="77777777" w:rsidR="0084658A" w:rsidRPr="005C155D" w:rsidRDefault="0084658A" w:rsidP="0084658A">
            <w:pPr>
              <w:pStyle w:val="B1"/>
              <w:numPr>
                <w:ilvl w:val="0"/>
                <w:numId w:val="20"/>
              </w:numPr>
              <w:overflowPunct w:val="0"/>
              <w:autoSpaceDE w:val="0"/>
              <w:autoSpaceDN w:val="0"/>
              <w:adjustRightInd w:val="0"/>
              <w:ind w:left="960"/>
              <w:textAlignment w:val="baseline"/>
              <w:rPr>
                <w:sz w:val="22"/>
                <w:szCs w:val="18"/>
                <w:lang w:val="en-US"/>
              </w:rPr>
            </w:pPr>
            <w:r w:rsidRPr="001F25AA">
              <w:rPr>
                <w:sz w:val="22"/>
                <w:szCs w:val="18"/>
                <w:lang w:val="en-US"/>
              </w:rPr>
              <w:t>Whether UE peak data rate reduction for UE is limited only with UE BB bandwidth reduction or standalone</w:t>
            </w:r>
          </w:p>
        </w:tc>
      </w:tr>
    </w:tbl>
    <w:p w14:paraId="664E9ED0" w14:textId="77777777" w:rsidR="0084658A" w:rsidRDefault="0084658A" w:rsidP="0084658A">
      <w:pPr>
        <w:rPr>
          <w:b/>
        </w:rPr>
      </w:pPr>
    </w:p>
    <w:p w14:paraId="712F7883" w14:textId="46DBAB40" w:rsidR="0084658A" w:rsidRPr="003E0E4E" w:rsidRDefault="0084658A" w:rsidP="0084658A">
      <w:pPr>
        <w:spacing w:afterLines="50" w:after="120"/>
        <w:jc w:val="both"/>
        <w:rPr>
          <w:szCs w:val="22"/>
          <w:lang w:val="en-US"/>
        </w:rPr>
      </w:pPr>
      <w:r>
        <w:rPr>
          <w:szCs w:val="22"/>
          <w:lang w:val="en-US"/>
        </w:rPr>
        <w:t xml:space="preserve">In this contribution, we </w:t>
      </w:r>
      <w:r w:rsidR="00000985">
        <w:rPr>
          <w:szCs w:val="22"/>
          <w:lang w:val="en-US"/>
        </w:rPr>
        <w:t>describe our view</w:t>
      </w:r>
      <w:r w:rsidR="00000985">
        <w:rPr>
          <w:szCs w:val="22"/>
          <w:lang w:val="en-US" w:eastAsia="ja-JP"/>
        </w:rPr>
        <w:t xml:space="preserve"> </w:t>
      </w:r>
      <w:r w:rsidR="00000985" w:rsidRPr="00000985">
        <w:rPr>
          <w:szCs w:val="22"/>
          <w:lang w:val="en-US" w:eastAsia="ja-JP"/>
        </w:rPr>
        <w:t xml:space="preserve">on cell barring for </w:t>
      </w:r>
      <w:r w:rsidR="00000985">
        <w:rPr>
          <w:szCs w:val="22"/>
          <w:lang w:val="en-US" w:eastAsia="ja-JP"/>
        </w:rPr>
        <w:t xml:space="preserve">Rel-18 </w:t>
      </w:r>
      <w:r w:rsidR="00000985" w:rsidRPr="00000985">
        <w:rPr>
          <w:szCs w:val="22"/>
          <w:lang w:val="en-US" w:eastAsia="ja-JP"/>
        </w:rPr>
        <w:t>eRedCap</w:t>
      </w:r>
      <w:r w:rsidR="00000985">
        <w:rPr>
          <w:szCs w:val="22"/>
          <w:lang w:val="en-US" w:eastAsia="ja-JP"/>
        </w:rPr>
        <w:t>.</w:t>
      </w:r>
    </w:p>
    <w:p w14:paraId="740DBD81" w14:textId="77777777" w:rsidR="002305A6" w:rsidRPr="00000985" w:rsidRDefault="002305A6" w:rsidP="007E2FC8">
      <w:pPr>
        <w:rPr>
          <w:szCs w:val="22"/>
          <w:lang w:val="en-US" w:eastAsia="ja-JP"/>
        </w:rPr>
      </w:pPr>
    </w:p>
    <w:p w14:paraId="375CDE38" w14:textId="77777777" w:rsidR="007E2FC8" w:rsidRDefault="007E2FC8" w:rsidP="007E2FC8">
      <w:pPr>
        <w:pStyle w:val="2"/>
        <w:numPr>
          <w:ilvl w:val="0"/>
          <w:numId w:val="2"/>
        </w:numPr>
        <w:rPr>
          <w:lang w:eastAsia="ja-JP"/>
        </w:rPr>
      </w:pPr>
      <w:r>
        <w:rPr>
          <w:rFonts w:hint="eastAsia"/>
          <w:lang w:eastAsia="ja-JP"/>
        </w:rPr>
        <w:t>Discussion</w:t>
      </w:r>
    </w:p>
    <w:p w14:paraId="6D6A56CE" w14:textId="508E4612" w:rsidR="00661C29" w:rsidRDefault="0084658A" w:rsidP="0084658A">
      <w:pPr>
        <w:pStyle w:val="2"/>
        <w:numPr>
          <w:ilvl w:val="1"/>
          <w:numId w:val="2"/>
        </w:numPr>
        <w:rPr>
          <w:rFonts w:cs="Arial"/>
          <w:lang w:eastAsia="ja-JP"/>
        </w:rPr>
      </w:pPr>
      <w:r>
        <w:rPr>
          <w:rFonts w:cs="Arial"/>
          <w:lang w:eastAsia="ja-JP"/>
        </w:rPr>
        <w:t>Cell barring</w:t>
      </w:r>
    </w:p>
    <w:p w14:paraId="40546D54" w14:textId="4F0CDB98" w:rsidR="007E2FC8" w:rsidRDefault="002352A6" w:rsidP="007E2FC8">
      <w:pPr>
        <w:rPr>
          <w:szCs w:val="22"/>
          <w:lang w:eastAsia="ja-JP"/>
        </w:rPr>
      </w:pPr>
      <w:r>
        <w:rPr>
          <w:szCs w:val="22"/>
          <w:lang w:eastAsia="ja-JP"/>
        </w:rPr>
        <w:t>At the RAN2#121, following agreement was made</w:t>
      </w:r>
      <w:r w:rsidR="00000985">
        <w:rPr>
          <w:szCs w:val="22"/>
          <w:lang w:eastAsia="ja-JP"/>
        </w:rPr>
        <w:t>[2]</w:t>
      </w:r>
      <w:r>
        <w:rPr>
          <w:szCs w:val="22"/>
          <w:lang w:eastAsia="ja-JP"/>
        </w:rPr>
        <w:t>;</w:t>
      </w:r>
    </w:p>
    <w:tbl>
      <w:tblPr>
        <w:tblStyle w:val="ac"/>
        <w:tblW w:w="0" w:type="auto"/>
        <w:tblLook w:val="04A0" w:firstRow="1" w:lastRow="0" w:firstColumn="1" w:lastColumn="0" w:noHBand="0" w:noVBand="1"/>
      </w:tblPr>
      <w:tblGrid>
        <w:gridCol w:w="9629"/>
      </w:tblGrid>
      <w:tr w:rsidR="00A37E5C" w14:paraId="4FF711CF" w14:textId="77777777" w:rsidTr="00A37E5C">
        <w:tc>
          <w:tcPr>
            <w:tcW w:w="9629" w:type="dxa"/>
          </w:tcPr>
          <w:p w14:paraId="5CE81EEB" w14:textId="5DE0769B" w:rsidR="00A37E5C" w:rsidRPr="002352A6" w:rsidRDefault="002352A6" w:rsidP="002352A6">
            <w:pPr>
              <w:pStyle w:val="Agreement"/>
              <w:numPr>
                <w:ilvl w:val="0"/>
                <w:numId w:val="26"/>
              </w:numPr>
              <w:rPr>
                <w:sz w:val="20"/>
              </w:rPr>
            </w:pPr>
            <w:r>
              <w:t>The NR MIB “cellBarred” bit applies to all UEs (Normal UEs, Redcap UEs and eRedcap UEs).</w:t>
            </w:r>
          </w:p>
        </w:tc>
      </w:tr>
    </w:tbl>
    <w:p w14:paraId="5E0CA10B" w14:textId="735283B5" w:rsidR="002352A6" w:rsidRDefault="002352A6" w:rsidP="002352A6">
      <w:pPr>
        <w:rPr>
          <w:szCs w:val="22"/>
          <w:lang w:eastAsia="ja-JP"/>
        </w:rPr>
      </w:pPr>
    </w:p>
    <w:p w14:paraId="0E1C47DF" w14:textId="5BBB5C99" w:rsidR="00105896" w:rsidRDefault="00105896" w:rsidP="002352A6">
      <w:pPr>
        <w:rPr>
          <w:szCs w:val="22"/>
          <w:lang w:eastAsia="ja-JP"/>
        </w:rPr>
      </w:pPr>
      <w:r>
        <w:rPr>
          <w:rFonts w:hint="eastAsia"/>
          <w:szCs w:val="22"/>
          <w:lang w:eastAsia="ja-JP"/>
        </w:rPr>
        <w:t>B</w:t>
      </w:r>
      <w:r>
        <w:rPr>
          <w:szCs w:val="22"/>
          <w:lang w:eastAsia="ja-JP"/>
        </w:rPr>
        <w:t xml:space="preserve">ut unfortunately, at the RAN2#121-bis, </w:t>
      </w:r>
      <w:r>
        <w:rPr>
          <w:rFonts w:hint="eastAsia"/>
          <w:szCs w:val="22"/>
          <w:lang w:eastAsia="ja-JP"/>
        </w:rPr>
        <w:t>t</w:t>
      </w:r>
      <w:r>
        <w:rPr>
          <w:szCs w:val="22"/>
          <w:lang w:eastAsia="ja-JP"/>
        </w:rPr>
        <w:t>here is no consensus about cell barring.</w:t>
      </w:r>
    </w:p>
    <w:p w14:paraId="0C29591A" w14:textId="0A2CBA3E" w:rsidR="00105896" w:rsidRDefault="002751B3" w:rsidP="002352A6">
      <w:pPr>
        <w:rPr>
          <w:szCs w:val="22"/>
          <w:lang w:eastAsia="ja-JP"/>
        </w:rPr>
      </w:pPr>
      <w:r w:rsidRPr="002751B3">
        <w:rPr>
          <w:szCs w:val="22"/>
          <w:lang w:eastAsia="ja-JP"/>
        </w:rPr>
        <w:t>The Justification in the WID</w:t>
      </w:r>
      <w:r>
        <w:rPr>
          <w:szCs w:val="22"/>
          <w:lang w:eastAsia="ja-JP"/>
        </w:rPr>
        <w:t>[1]</w:t>
      </w:r>
      <w:r w:rsidRPr="002751B3">
        <w:rPr>
          <w:szCs w:val="22"/>
          <w:lang w:eastAsia="ja-JP"/>
        </w:rPr>
        <w:t xml:space="preserve"> states as follows</w:t>
      </w:r>
      <w:r>
        <w:rPr>
          <w:szCs w:val="22"/>
          <w:lang w:eastAsia="ja-JP"/>
        </w:rPr>
        <w:t>;</w:t>
      </w:r>
      <w:r w:rsidR="00E241A5">
        <w:rPr>
          <w:szCs w:val="22"/>
          <w:lang w:eastAsia="ja-JP"/>
        </w:rPr>
        <w:t xml:space="preserve"> </w:t>
      </w:r>
    </w:p>
    <w:p w14:paraId="4A5B8F9A" w14:textId="77777777" w:rsidR="00483B16" w:rsidRPr="00483B16" w:rsidRDefault="00483B16" w:rsidP="00483B16">
      <w:pPr>
        <w:pBdr>
          <w:top w:val="single" w:sz="4" w:space="1" w:color="auto"/>
          <w:left w:val="single" w:sz="4" w:space="4" w:color="auto"/>
          <w:bottom w:val="single" w:sz="4" w:space="1" w:color="auto"/>
          <w:right w:val="single" w:sz="4" w:space="4" w:color="auto"/>
        </w:pBdr>
        <w:rPr>
          <w:szCs w:val="22"/>
          <w:lang w:eastAsia="ja-JP"/>
        </w:rPr>
      </w:pPr>
      <w:r w:rsidRPr="00483B16">
        <w:rPr>
          <w:szCs w:val="22"/>
          <w:lang w:eastAsia="ja-JP"/>
        </w:rPr>
        <w:t>Through the Rel-17 NR RedCap work item, 3GPP has established a framework for enabling reduced capability NR devices suitable for a range of use cases, including the industrial sensors, video surveillance, and wearables use cases, with requirements on low UE complexity and sometimes also on low UE power consumption.</w:t>
      </w:r>
    </w:p>
    <w:p w14:paraId="161E7671" w14:textId="35A0F205" w:rsidR="00483B16" w:rsidRDefault="00483B16" w:rsidP="00483B16">
      <w:pPr>
        <w:pBdr>
          <w:top w:val="single" w:sz="4" w:space="1" w:color="auto"/>
          <w:left w:val="single" w:sz="4" w:space="4" w:color="auto"/>
          <w:bottom w:val="single" w:sz="4" w:space="1" w:color="auto"/>
          <w:right w:val="single" w:sz="4" w:space="4" w:color="auto"/>
        </w:pBdr>
        <w:rPr>
          <w:szCs w:val="22"/>
          <w:lang w:eastAsia="ja-JP"/>
        </w:rPr>
      </w:pPr>
      <w:r w:rsidRPr="00483B16">
        <w:rPr>
          <w:szCs w:val="22"/>
          <w:lang w:eastAsia="ja-JP"/>
        </w:rPr>
        <w:t>To further expand the market for RedCap use cases with relatively low cost, low energy consumption, and low data rate requirements, e.g., industrial wireless sensor network use cases, some further complexity reduction enhancements should be considered.</w:t>
      </w:r>
    </w:p>
    <w:p w14:paraId="204B6376" w14:textId="77777777" w:rsidR="00E241A5" w:rsidRDefault="00E241A5" w:rsidP="007E2FC8">
      <w:pPr>
        <w:rPr>
          <w:szCs w:val="22"/>
          <w:lang w:eastAsia="ja-JP"/>
        </w:rPr>
      </w:pPr>
      <w:r w:rsidRPr="00E241A5">
        <w:rPr>
          <w:szCs w:val="22"/>
          <w:lang w:eastAsia="ja-JP"/>
        </w:rPr>
        <w:t>Therefore, it is expected that the market targeted by Rel-18 eRedCap is targeted at a different market than Rel-17 RedCap. In other words, it is supposed to be possible for operators to provide service only to Rel-18 eRedCap and not to accept Rel-17 RedCap.</w:t>
      </w:r>
    </w:p>
    <w:p w14:paraId="1DF84452" w14:textId="6A73A4BB" w:rsidR="00E241A5" w:rsidRPr="00000985" w:rsidRDefault="00E241A5" w:rsidP="00000985">
      <w:pPr>
        <w:ind w:left="1680" w:hanging="1680"/>
        <w:rPr>
          <w:b/>
          <w:bCs/>
          <w:szCs w:val="22"/>
          <w:lang w:eastAsia="ja-JP"/>
        </w:rPr>
      </w:pPr>
      <w:r w:rsidRPr="00000985">
        <w:rPr>
          <w:b/>
          <w:bCs/>
          <w:szCs w:val="22"/>
          <w:lang w:eastAsia="ja-JP"/>
        </w:rPr>
        <w:t>Observation 1</w:t>
      </w:r>
      <w:r w:rsidR="00000985">
        <w:rPr>
          <w:b/>
          <w:bCs/>
          <w:szCs w:val="22"/>
          <w:lang w:eastAsia="ja-JP"/>
        </w:rPr>
        <w:tab/>
        <w:t>I</w:t>
      </w:r>
      <w:r w:rsidRPr="00000985">
        <w:rPr>
          <w:b/>
          <w:bCs/>
          <w:szCs w:val="22"/>
          <w:lang w:eastAsia="ja-JP"/>
        </w:rPr>
        <w:t>t is supposed to be possible for operators to provide service only to Rel-18 eRedCap and not to accept Rel-17 RedCap.</w:t>
      </w:r>
    </w:p>
    <w:p w14:paraId="240B586B" w14:textId="235B6717" w:rsidR="00FB361A" w:rsidRDefault="00E241A5" w:rsidP="007E2FC8">
      <w:pPr>
        <w:rPr>
          <w:szCs w:val="22"/>
          <w:lang w:eastAsia="ja-JP"/>
        </w:rPr>
      </w:pPr>
      <w:r w:rsidRPr="00E241A5">
        <w:rPr>
          <w:szCs w:val="22"/>
          <w:lang w:eastAsia="ja-JP"/>
        </w:rPr>
        <w:t>In such cases, if Rel-17 RedCap UE cannot be excluded at Access control, it will cause unnecessary load on the Network side. Therefore, at least a mechanism to barring Rel-17 RedCap UEs and allow only Rel-18 eRedCap UEs is needed.</w:t>
      </w:r>
    </w:p>
    <w:p w14:paraId="28E4F2D7" w14:textId="77777777" w:rsidR="00000985" w:rsidRPr="00000985" w:rsidRDefault="00000985" w:rsidP="00000985">
      <w:pPr>
        <w:ind w:left="1680" w:hanging="1680"/>
        <w:rPr>
          <w:b/>
          <w:bCs/>
          <w:szCs w:val="22"/>
          <w:lang w:eastAsia="ja-JP"/>
        </w:rPr>
      </w:pPr>
      <w:r w:rsidRPr="00000985">
        <w:rPr>
          <w:rFonts w:hint="eastAsia"/>
          <w:b/>
          <w:bCs/>
          <w:szCs w:val="22"/>
          <w:lang w:eastAsia="ja-JP"/>
        </w:rPr>
        <w:t>P</w:t>
      </w:r>
      <w:r w:rsidRPr="00000985">
        <w:rPr>
          <w:b/>
          <w:bCs/>
          <w:szCs w:val="22"/>
          <w:lang w:eastAsia="ja-JP"/>
        </w:rPr>
        <w:t xml:space="preserve">roposal 1. </w:t>
      </w:r>
      <w:r w:rsidRPr="00000985">
        <w:rPr>
          <w:b/>
          <w:bCs/>
          <w:szCs w:val="22"/>
          <w:lang w:eastAsia="ja-JP"/>
        </w:rPr>
        <w:tab/>
        <w:t>At least a mechanism to barring Rel-17 RedCap UEs and allow only Rel-18 eRedCap UEs is needed.</w:t>
      </w:r>
    </w:p>
    <w:p w14:paraId="3F9681BC" w14:textId="511C70B6" w:rsidR="003863A8" w:rsidRDefault="00E241A5" w:rsidP="007E2FC8">
      <w:pPr>
        <w:rPr>
          <w:szCs w:val="22"/>
          <w:lang w:eastAsia="ja-JP"/>
        </w:rPr>
      </w:pPr>
      <w:r w:rsidRPr="00E241A5">
        <w:rPr>
          <w:szCs w:val="22"/>
          <w:lang w:eastAsia="ja-JP"/>
        </w:rPr>
        <w:t>Similarly for 1RX / 2RX barring, Rel-17 RedCap and Rel-18 eRedCap should be independently controllable as they are intended for different use cases.</w:t>
      </w:r>
    </w:p>
    <w:p w14:paraId="4B1CC3D1" w14:textId="77777777" w:rsidR="00E241A5" w:rsidRDefault="00E241A5" w:rsidP="007E2FC8">
      <w:pPr>
        <w:rPr>
          <w:szCs w:val="22"/>
          <w:lang w:eastAsia="ja-JP"/>
        </w:rPr>
      </w:pPr>
    </w:p>
    <w:p w14:paraId="1F0E69F7" w14:textId="77777777" w:rsidR="00E241A5" w:rsidRDefault="00E241A5" w:rsidP="007E2FC8">
      <w:pPr>
        <w:rPr>
          <w:szCs w:val="22"/>
          <w:lang w:eastAsia="ja-JP"/>
        </w:rPr>
      </w:pPr>
      <w:r w:rsidRPr="00E241A5">
        <w:rPr>
          <w:szCs w:val="22"/>
          <w:lang w:eastAsia="ja-JP"/>
        </w:rPr>
        <w:t>On the other hand, if a consensus for discussion cannot be reached in RAN2, it appears that it would be better to focus on the point "whether the 1Rx/ 2Rx distinction is independently required for Rel-17 RedCap and Rel-18 eRedCap" and discuss it in the RAN plenary as in Rel-17. Since it is the scope of RAN2 regarding access control, even if we ask RAN1 for comments, we assume that we will not receive the desired answer if the technical issues are not clarified.</w:t>
      </w:r>
    </w:p>
    <w:p w14:paraId="1B767982" w14:textId="05728907" w:rsidR="00225397" w:rsidRPr="00000985" w:rsidRDefault="00225397" w:rsidP="00317709">
      <w:pPr>
        <w:ind w:left="1276" w:hanging="1276"/>
        <w:rPr>
          <w:b/>
          <w:bCs/>
          <w:szCs w:val="22"/>
          <w:lang w:eastAsia="ja-JP"/>
        </w:rPr>
      </w:pPr>
      <w:r w:rsidRPr="00000985">
        <w:rPr>
          <w:b/>
          <w:bCs/>
          <w:szCs w:val="22"/>
          <w:lang w:eastAsia="ja-JP"/>
        </w:rPr>
        <w:lastRenderedPageBreak/>
        <w:t>Proposal 2.</w:t>
      </w:r>
      <w:r w:rsidR="00E241A5" w:rsidRPr="00000985">
        <w:rPr>
          <w:b/>
          <w:bCs/>
          <w:szCs w:val="22"/>
          <w:lang w:eastAsia="ja-JP"/>
        </w:rPr>
        <w:t xml:space="preserve"> </w:t>
      </w:r>
      <w:r w:rsidR="00317709" w:rsidRPr="00000985">
        <w:rPr>
          <w:b/>
          <w:bCs/>
          <w:szCs w:val="22"/>
          <w:lang w:eastAsia="ja-JP"/>
        </w:rPr>
        <w:tab/>
      </w:r>
      <w:r w:rsidR="00000985" w:rsidRPr="00000985">
        <w:rPr>
          <w:b/>
          <w:bCs/>
          <w:szCs w:val="22"/>
          <w:lang w:eastAsia="ja-JP"/>
        </w:rPr>
        <w:t>If</w:t>
      </w:r>
      <w:r w:rsidR="00E241A5" w:rsidRPr="00000985">
        <w:rPr>
          <w:b/>
          <w:bCs/>
          <w:szCs w:val="22"/>
          <w:lang w:eastAsia="ja-JP"/>
        </w:rPr>
        <w:t xml:space="preserve"> a consensus for discussion cannot be reached in RAN2, it would be better to focus on the point "whether the 1Rx/ 2Rx distinction is independently required for Rel-17 RedCap and Rel-18 eRedCap" and discuss it in the RAN plenary</w:t>
      </w:r>
    </w:p>
    <w:p w14:paraId="273706B7" w14:textId="77777777" w:rsidR="00225397" w:rsidRPr="00000985" w:rsidRDefault="00225397" w:rsidP="007E2FC8">
      <w:pPr>
        <w:rPr>
          <w:szCs w:val="22"/>
          <w:lang w:eastAsia="ja-JP"/>
        </w:rPr>
      </w:pPr>
    </w:p>
    <w:p w14:paraId="56E25677" w14:textId="77777777" w:rsidR="007E2FC8" w:rsidRDefault="007E2FC8" w:rsidP="007A1912">
      <w:pPr>
        <w:pStyle w:val="2"/>
        <w:numPr>
          <w:ilvl w:val="0"/>
          <w:numId w:val="2"/>
        </w:numPr>
        <w:rPr>
          <w:lang w:eastAsia="ja-JP"/>
        </w:rPr>
      </w:pPr>
      <w:r>
        <w:rPr>
          <w:rFonts w:hint="eastAsia"/>
          <w:lang w:eastAsia="ja-JP"/>
        </w:rPr>
        <w:t>Summary and proposal</w:t>
      </w:r>
    </w:p>
    <w:p w14:paraId="5EBD5968" w14:textId="77777777" w:rsidR="00000985" w:rsidRPr="00000985" w:rsidRDefault="00000985" w:rsidP="00000985">
      <w:pPr>
        <w:ind w:left="1680" w:hanging="1680"/>
        <w:rPr>
          <w:b/>
          <w:bCs/>
          <w:szCs w:val="22"/>
          <w:lang w:eastAsia="ja-JP"/>
        </w:rPr>
      </w:pPr>
      <w:r w:rsidRPr="00000985">
        <w:rPr>
          <w:b/>
          <w:bCs/>
          <w:szCs w:val="22"/>
          <w:lang w:eastAsia="ja-JP"/>
        </w:rPr>
        <w:t>Observation 1</w:t>
      </w:r>
      <w:r w:rsidRPr="00000985">
        <w:rPr>
          <w:b/>
          <w:bCs/>
          <w:szCs w:val="22"/>
          <w:lang w:eastAsia="ja-JP"/>
        </w:rPr>
        <w:tab/>
        <w:t>It is supposed to be possible for operators to provide service only to Rel-18 eRedCap and not to accept Rel-17 RedCap.</w:t>
      </w:r>
    </w:p>
    <w:p w14:paraId="7244EFF4" w14:textId="77777777" w:rsidR="00000985" w:rsidRPr="00000985" w:rsidRDefault="00000985" w:rsidP="00000985">
      <w:pPr>
        <w:ind w:left="1680" w:hanging="1680"/>
        <w:rPr>
          <w:b/>
          <w:bCs/>
          <w:szCs w:val="22"/>
          <w:lang w:eastAsia="ja-JP"/>
        </w:rPr>
      </w:pPr>
      <w:r w:rsidRPr="00000985">
        <w:rPr>
          <w:rFonts w:hint="eastAsia"/>
          <w:b/>
          <w:bCs/>
          <w:szCs w:val="22"/>
          <w:lang w:eastAsia="ja-JP"/>
        </w:rPr>
        <w:t>P</w:t>
      </w:r>
      <w:r w:rsidRPr="00000985">
        <w:rPr>
          <w:b/>
          <w:bCs/>
          <w:szCs w:val="22"/>
          <w:lang w:eastAsia="ja-JP"/>
        </w:rPr>
        <w:t xml:space="preserve">roposal 1. </w:t>
      </w:r>
      <w:r w:rsidRPr="00000985">
        <w:rPr>
          <w:b/>
          <w:bCs/>
          <w:szCs w:val="22"/>
          <w:lang w:eastAsia="ja-JP"/>
        </w:rPr>
        <w:tab/>
        <w:t>At least a mechanism to barring Rel-17 RedCap UEs and allow only Rel-18 eRedCap UEs is needed.</w:t>
      </w:r>
    </w:p>
    <w:p w14:paraId="7C6781B4" w14:textId="77777777" w:rsidR="00000985" w:rsidRPr="00000985" w:rsidRDefault="00000985" w:rsidP="00000985">
      <w:pPr>
        <w:ind w:left="1680" w:hanging="1680"/>
        <w:rPr>
          <w:b/>
          <w:bCs/>
          <w:szCs w:val="22"/>
          <w:lang w:eastAsia="ja-JP"/>
        </w:rPr>
      </w:pPr>
      <w:r w:rsidRPr="00000985">
        <w:rPr>
          <w:b/>
          <w:bCs/>
          <w:szCs w:val="22"/>
          <w:lang w:eastAsia="ja-JP"/>
        </w:rPr>
        <w:t xml:space="preserve">Proposal 2. </w:t>
      </w:r>
      <w:r w:rsidRPr="00000985">
        <w:rPr>
          <w:b/>
          <w:bCs/>
          <w:szCs w:val="22"/>
          <w:lang w:eastAsia="ja-JP"/>
        </w:rPr>
        <w:tab/>
        <w:t>If a consensus for discussion cannot be reached in RAN2, it would be better to focus on the point "whether the 1Rx/ 2Rx distinction is independently required for Rel-17 RedCap and Rel-18 eRedCap" and discuss it in the RAN plenary</w:t>
      </w:r>
    </w:p>
    <w:p w14:paraId="021FD226" w14:textId="77777777" w:rsidR="00C97CFC" w:rsidRPr="00000985" w:rsidRDefault="00C97CFC" w:rsidP="007E2FC8">
      <w:pPr>
        <w:rPr>
          <w:szCs w:val="22"/>
          <w:lang w:eastAsia="ja-JP"/>
        </w:rPr>
      </w:pPr>
    </w:p>
    <w:p w14:paraId="19CDB79A" w14:textId="11CC319F" w:rsidR="007E2FC8" w:rsidRDefault="007E2FC8" w:rsidP="007A1912">
      <w:pPr>
        <w:pStyle w:val="2"/>
        <w:numPr>
          <w:ilvl w:val="0"/>
          <w:numId w:val="2"/>
        </w:numPr>
        <w:rPr>
          <w:rFonts w:cs="Arial"/>
          <w:lang w:eastAsia="ja-JP"/>
        </w:rPr>
      </w:pPr>
      <w:r w:rsidRPr="00863065">
        <w:rPr>
          <w:rFonts w:cs="Arial"/>
          <w:lang w:eastAsia="ja-JP"/>
        </w:rPr>
        <w:t>Reference</w:t>
      </w:r>
      <w:r>
        <w:rPr>
          <w:rFonts w:cs="Arial" w:hint="eastAsia"/>
          <w:lang w:eastAsia="ja-JP"/>
        </w:rPr>
        <w:t>s</w:t>
      </w:r>
    </w:p>
    <w:p w14:paraId="68089F97" w14:textId="77777777" w:rsidR="00F472FB" w:rsidRPr="00F472FB" w:rsidRDefault="00F472FB" w:rsidP="00F472FB">
      <w:pPr>
        <w:rPr>
          <w:bCs/>
          <w:szCs w:val="18"/>
        </w:rPr>
      </w:pPr>
      <w:r w:rsidRPr="00F472FB">
        <w:rPr>
          <w:bCs/>
          <w:szCs w:val="18"/>
        </w:rPr>
        <w:t xml:space="preserve">[1] </w:t>
      </w:r>
      <w:bookmarkStart w:id="0" w:name="_Hlk111191297"/>
      <w:r w:rsidRPr="00F472FB">
        <w:rPr>
          <w:bCs/>
          <w:szCs w:val="18"/>
        </w:rPr>
        <w:t>RP-22</w:t>
      </w:r>
      <w:bookmarkEnd w:id="0"/>
      <w:r w:rsidRPr="00F472FB">
        <w:rPr>
          <w:bCs/>
          <w:szCs w:val="18"/>
        </w:rPr>
        <w:t xml:space="preserve">3544, </w:t>
      </w:r>
      <w:bookmarkStart w:id="1" w:name="_Hlk67479244"/>
      <w:r w:rsidRPr="00F472FB">
        <w:rPr>
          <w:szCs w:val="18"/>
        </w:rPr>
        <w:t>Enhanced support of reduced capability NR devices</w:t>
      </w:r>
      <w:bookmarkEnd w:id="1"/>
      <w:r w:rsidRPr="00F472FB">
        <w:rPr>
          <w:bCs/>
          <w:szCs w:val="18"/>
        </w:rPr>
        <w:t>, Ericsson.</w:t>
      </w:r>
    </w:p>
    <w:p w14:paraId="6D0C8257" w14:textId="624742E5" w:rsidR="00F472FB" w:rsidRPr="00F472FB" w:rsidRDefault="00F472FB" w:rsidP="00F472FB">
      <w:pPr>
        <w:rPr>
          <w:szCs w:val="22"/>
          <w:lang w:eastAsia="ja-JP"/>
        </w:rPr>
      </w:pPr>
      <w:r w:rsidRPr="00F472FB">
        <w:rPr>
          <w:rFonts w:hint="eastAsia"/>
          <w:szCs w:val="22"/>
          <w:lang w:eastAsia="ja-JP"/>
        </w:rPr>
        <w:t>[</w:t>
      </w:r>
      <w:r>
        <w:rPr>
          <w:szCs w:val="22"/>
          <w:lang w:eastAsia="ja-JP"/>
        </w:rPr>
        <w:t>2</w:t>
      </w:r>
      <w:r w:rsidRPr="00F472FB">
        <w:rPr>
          <w:szCs w:val="22"/>
          <w:lang w:eastAsia="ja-JP"/>
        </w:rPr>
        <w:t>]</w:t>
      </w:r>
      <w:r w:rsidRPr="006456CA">
        <w:t xml:space="preserve"> </w:t>
      </w:r>
      <w:r>
        <w:t>R2-2301910, Report from eRedCap breakout session, Session chair (Ericsson)</w:t>
      </w:r>
    </w:p>
    <w:p w14:paraId="61985B21" w14:textId="4F2C0D57" w:rsidR="00E241A5" w:rsidRPr="00F472FB" w:rsidRDefault="00E241A5" w:rsidP="00F472FB">
      <w:pPr>
        <w:rPr>
          <w:lang w:eastAsia="ja-JP"/>
        </w:rPr>
      </w:pPr>
    </w:p>
    <w:sectPr w:rsidR="00E241A5" w:rsidRPr="00F472FB">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85540" w14:textId="77777777" w:rsidR="001255B5" w:rsidRDefault="001255B5" w:rsidP="007E2FC8">
      <w:pPr>
        <w:spacing w:after="0"/>
      </w:pPr>
      <w:r>
        <w:separator/>
      </w:r>
    </w:p>
  </w:endnote>
  <w:endnote w:type="continuationSeparator" w:id="0">
    <w:p w14:paraId="2664A878" w14:textId="77777777" w:rsidR="001255B5" w:rsidRDefault="001255B5" w:rsidP="007E2F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A2E8"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376BC4" w:rsidRDefault="0000000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D9CF"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4427B0AB" w14:textId="77777777" w:rsidR="00376BC4" w:rsidRDefault="0000000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25824" w14:textId="77777777" w:rsidR="001255B5" w:rsidRDefault="001255B5" w:rsidP="007E2FC8">
      <w:pPr>
        <w:spacing w:after="0"/>
      </w:pPr>
      <w:r>
        <w:separator/>
      </w:r>
    </w:p>
  </w:footnote>
  <w:footnote w:type="continuationSeparator" w:id="0">
    <w:p w14:paraId="2A919ED3" w14:textId="77777777" w:rsidR="001255B5" w:rsidRDefault="001255B5" w:rsidP="007E2F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0B12" w14:textId="77777777" w:rsidR="00376BC4" w:rsidRDefault="00000000">
    <w:pPr>
      <w:pStyle w:val="a3"/>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B057C"/>
    <w:multiLevelType w:val="multilevel"/>
    <w:tmpl w:val="0CDCA3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D73CD8"/>
    <w:multiLevelType w:val="multilevel"/>
    <w:tmpl w:val="CC1E4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F874D1"/>
    <w:multiLevelType w:val="hybridMultilevel"/>
    <w:tmpl w:val="05865104"/>
    <w:lvl w:ilvl="0" w:tplc="844CCAF8">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0B2E14"/>
    <w:multiLevelType w:val="multilevel"/>
    <w:tmpl w:val="C2188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1C6E3C"/>
    <w:multiLevelType w:val="multilevel"/>
    <w:tmpl w:val="9EBC3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E484EE6"/>
    <w:multiLevelType w:val="multilevel"/>
    <w:tmpl w:val="4BA67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6260BC4"/>
    <w:multiLevelType w:val="hybridMultilevel"/>
    <w:tmpl w:val="14F2F3E8"/>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75B4DC4"/>
    <w:multiLevelType w:val="multilevel"/>
    <w:tmpl w:val="54967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85E3066"/>
    <w:multiLevelType w:val="hybridMultilevel"/>
    <w:tmpl w:val="16EEFAC8"/>
    <w:lvl w:ilvl="0" w:tplc="0B228B1E">
      <w:start w:val="1"/>
      <w:numFmt w:val="bullet"/>
      <w:lvlText w:val=""/>
      <w:lvlJc w:val="left"/>
      <w:pPr>
        <w:ind w:left="420" w:hanging="420"/>
      </w:pPr>
      <w:rPr>
        <w:rFonts w:ascii="Wingdings" w:hAnsi="Wingdings" w:hint="default"/>
      </w:rPr>
    </w:lvl>
    <w:lvl w:ilvl="1" w:tplc="0B228B1E">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AD637F"/>
    <w:multiLevelType w:val="hybridMultilevel"/>
    <w:tmpl w:val="7D4891F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55328EB"/>
    <w:multiLevelType w:val="multilevel"/>
    <w:tmpl w:val="D3E6DC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57D5802"/>
    <w:multiLevelType w:val="multilevel"/>
    <w:tmpl w:val="27F2B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97E0F5F"/>
    <w:multiLevelType w:val="multilevel"/>
    <w:tmpl w:val="B054F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1D5716F"/>
    <w:multiLevelType w:val="multilevel"/>
    <w:tmpl w:val="12442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22A26BB"/>
    <w:multiLevelType w:val="hybridMultilevel"/>
    <w:tmpl w:val="6220BB7E"/>
    <w:lvl w:ilvl="0" w:tplc="FFFFFFFF">
      <w:start w:val="1"/>
      <w:numFmt w:val="bullet"/>
      <w:lvlText w:val=""/>
      <w:lvlJc w:val="left"/>
      <w:pPr>
        <w:ind w:left="420" w:hanging="420"/>
      </w:pPr>
      <w:rPr>
        <w:rFonts w:ascii="Wingdings" w:hAnsi="Wingdings" w:hint="default"/>
      </w:rPr>
    </w:lvl>
    <w:lvl w:ilvl="1" w:tplc="FC2E0A64">
      <w:start w:val="2"/>
      <w:numFmt w:val="bullet"/>
      <w:lvlText w:val="-"/>
      <w:lvlJc w:val="left"/>
      <w:pPr>
        <w:ind w:left="840" w:hanging="420"/>
      </w:pPr>
      <w:rPr>
        <w:rFonts w:ascii="Times New Roman" w:eastAsia="ＭＳ 明朝"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1" w15:restartNumberingAfterBreak="0">
    <w:nsid w:val="70F660EB"/>
    <w:multiLevelType w:val="multilevel"/>
    <w:tmpl w:val="A78AD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23"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7DF03F1F"/>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num w:numId="1" w16cid:durableId="1308558122">
    <w:abstractNumId w:val="22"/>
  </w:num>
  <w:num w:numId="2" w16cid:durableId="895511516">
    <w:abstractNumId w:val="19"/>
  </w:num>
  <w:num w:numId="3" w16cid:durableId="1647855571">
    <w:abstractNumId w:val="20"/>
  </w:num>
  <w:num w:numId="4" w16cid:durableId="2085176627">
    <w:abstractNumId w:val="11"/>
  </w:num>
  <w:num w:numId="5" w16cid:durableId="939949642">
    <w:abstractNumId w:val="0"/>
  </w:num>
  <w:num w:numId="6" w16cid:durableId="559634552">
    <w:abstractNumId w:val="10"/>
  </w:num>
  <w:num w:numId="7" w16cid:durableId="719593193">
    <w:abstractNumId w:val="21"/>
  </w:num>
  <w:num w:numId="8" w16cid:durableId="453333199">
    <w:abstractNumId w:val="14"/>
  </w:num>
  <w:num w:numId="9" w16cid:durableId="1486819577">
    <w:abstractNumId w:val="8"/>
  </w:num>
  <w:num w:numId="10" w16cid:durableId="1596472540">
    <w:abstractNumId w:val="3"/>
  </w:num>
  <w:num w:numId="11" w16cid:durableId="1346636538">
    <w:abstractNumId w:val="5"/>
  </w:num>
  <w:num w:numId="12" w16cid:durableId="808674292">
    <w:abstractNumId w:val="18"/>
  </w:num>
  <w:num w:numId="13" w16cid:durableId="1692759589">
    <w:abstractNumId w:val="1"/>
  </w:num>
  <w:num w:numId="14" w16cid:durableId="880171971">
    <w:abstractNumId w:val="16"/>
  </w:num>
  <w:num w:numId="15" w16cid:durableId="607394869">
    <w:abstractNumId w:val="13"/>
  </w:num>
  <w:num w:numId="16" w16cid:durableId="1301425580">
    <w:abstractNumId w:val="4"/>
  </w:num>
  <w:num w:numId="17" w16cid:durableId="684402807">
    <w:abstractNumId w:val="12"/>
  </w:num>
  <w:num w:numId="18" w16cid:durableId="1163546247">
    <w:abstractNumId w:val="25"/>
  </w:num>
  <w:num w:numId="19" w16cid:durableId="688020558">
    <w:abstractNumId w:val="15"/>
  </w:num>
  <w:num w:numId="20" w16cid:durableId="1896354333">
    <w:abstractNumId w:val="23"/>
  </w:num>
  <w:num w:numId="21" w16cid:durableId="277030858">
    <w:abstractNumId w:val="6"/>
  </w:num>
  <w:num w:numId="22" w16cid:durableId="264580305">
    <w:abstractNumId w:val="24"/>
  </w:num>
  <w:num w:numId="23" w16cid:durableId="845746589">
    <w:abstractNumId w:val="7"/>
  </w:num>
  <w:num w:numId="24" w16cid:durableId="1612275730">
    <w:abstractNumId w:val="9"/>
  </w:num>
  <w:num w:numId="25" w16cid:durableId="1615139826">
    <w:abstractNumId w:val="17"/>
  </w:num>
  <w:num w:numId="26" w16cid:durableId="703600188">
    <w:abstractNumId w:val="20"/>
  </w:num>
  <w:num w:numId="27" w16cid:durableId="19417923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00985"/>
    <w:rsid w:val="00011E4E"/>
    <w:rsid w:val="00020874"/>
    <w:rsid w:val="00084EED"/>
    <w:rsid w:val="00087D8D"/>
    <w:rsid w:val="00093464"/>
    <w:rsid w:val="000A2EDD"/>
    <w:rsid w:val="000C6A39"/>
    <w:rsid w:val="000E784B"/>
    <w:rsid w:val="000F1FE0"/>
    <w:rsid w:val="000F2C95"/>
    <w:rsid w:val="00100FA5"/>
    <w:rsid w:val="00105896"/>
    <w:rsid w:val="001255B5"/>
    <w:rsid w:val="001319B5"/>
    <w:rsid w:val="0015091B"/>
    <w:rsid w:val="00172DB3"/>
    <w:rsid w:val="00176B21"/>
    <w:rsid w:val="001810FC"/>
    <w:rsid w:val="001869BA"/>
    <w:rsid w:val="001C72AD"/>
    <w:rsid w:val="001C74C8"/>
    <w:rsid w:val="001F729A"/>
    <w:rsid w:val="002128FD"/>
    <w:rsid w:val="00216F83"/>
    <w:rsid w:val="00225397"/>
    <w:rsid w:val="00226034"/>
    <w:rsid w:val="002271F4"/>
    <w:rsid w:val="002305A6"/>
    <w:rsid w:val="002352A6"/>
    <w:rsid w:val="00262F8E"/>
    <w:rsid w:val="002751B3"/>
    <w:rsid w:val="002A2FF9"/>
    <w:rsid w:val="002B674A"/>
    <w:rsid w:val="00317709"/>
    <w:rsid w:val="003569A8"/>
    <w:rsid w:val="003863A8"/>
    <w:rsid w:val="00394398"/>
    <w:rsid w:val="00400FD3"/>
    <w:rsid w:val="00483B16"/>
    <w:rsid w:val="00487E5D"/>
    <w:rsid w:val="00492644"/>
    <w:rsid w:val="00493F9E"/>
    <w:rsid w:val="004A1E6E"/>
    <w:rsid w:val="004C419F"/>
    <w:rsid w:val="004D1B48"/>
    <w:rsid w:val="004E6B03"/>
    <w:rsid w:val="004F6390"/>
    <w:rsid w:val="00537958"/>
    <w:rsid w:val="00541C01"/>
    <w:rsid w:val="00560427"/>
    <w:rsid w:val="005C7784"/>
    <w:rsid w:val="005F1EB4"/>
    <w:rsid w:val="005F73C8"/>
    <w:rsid w:val="006058A0"/>
    <w:rsid w:val="0062129C"/>
    <w:rsid w:val="00622539"/>
    <w:rsid w:val="006456CA"/>
    <w:rsid w:val="00661C29"/>
    <w:rsid w:val="00665154"/>
    <w:rsid w:val="00675E18"/>
    <w:rsid w:val="00694325"/>
    <w:rsid w:val="006D275E"/>
    <w:rsid w:val="007146AD"/>
    <w:rsid w:val="00752710"/>
    <w:rsid w:val="00753B64"/>
    <w:rsid w:val="00757E49"/>
    <w:rsid w:val="00761332"/>
    <w:rsid w:val="007A1912"/>
    <w:rsid w:val="007C37AB"/>
    <w:rsid w:val="007D6859"/>
    <w:rsid w:val="007E2FC8"/>
    <w:rsid w:val="007E68CE"/>
    <w:rsid w:val="0083168F"/>
    <w:rsid w:val="0084658A"/>
    <w:rsid w:val="008472A3"/>
    <w:rsid w:val="00864C41"/>
    <w:rsid w:val="00871B8A"/>
    <w:rsid w:val="00896DC7"/>
    <w:rsid w:val="008A38C3"/>
    <w:rsid w:val="008B4D0A"/>
    <w:rsid w:val="008C2D47"/>
    <w:rsid w:val="008E5A66"/>
    <w:rsid w:val="008F71F1"/>
    <w:rsid w:val="00921B6D"/>
    <w:rsid w:val="0092515C"/>
    <w:rsid w:val="00945699"/>
    <w:rsid w:val="0094719A"/>
    <w:rsid w:val="0097130C"/>
    <w:rsid w:val="00972AB4"/>
    <w:rsid w:val="0099473F"/>
    <w:rsid w:val="009B1F20"/>
    <w:rsid w:val="00A1702E"/>
    <w:rsid w:val="00A37E5C"/>
    <w:rsid w:val="00A52A8C"/>
    <w:rsid w:val="00AE3024"/>
    <w:rsid w:val="00B03D23"/>
    <w:rsid w:val="00B07552"/>
    <w:rsid w:val="00B36604"/>
    <w:rsid w:val="00B36B37"/>
    <w:rsid w:val="00B505F5"/>
    <w:rsid w:val="00B70AB1"/>
    <w:rsid w:val="00B9705C"/>
    <w:rsid w:val="00BA12B7"/>
    <w:rsid w:val="00BB72E9"/>
    <w:rsid w:val="00BF04FB"/>
    <w:rsid w:val="00C163E2"/>
    <w:rsid w:val="00C42B1B"/>
    <w:rsid w:val="00C4690F"/>
    <w:rsid w:val="00C46BFE"/>
    <w:rsid w:val="00C479BA"/>
    <w:rsid w:val="00C93B43"/>
    <w:rsid w:val="00C97CFC"/>
    <w:rsid w:val="00D733A4"/>
    <w:rsid w:val="00D769F6"/>
    <w:rsid w:val="00D94041"/>
    <w:rsid w:val="00D959DC"/>
    <w:rsid w:val="00DB76B3"/>
    <w:rsid w:val="00E06E4B"/>
    <w:rsid w:val="00E202C2"/>
    <w:rsid w:val="00E241A5"/>
    <w:rsid w:val="00E40F37"/>
    <w:rsid w:val="00F2104D"/>
    <w:rsid w:val="00F33754"/>
    <w:rsid w:val="00F4104B"/>
    <w:rsid w:val="00F4283F"/>
    <w:rsid w:val="00F472FB"/>
    <w:rsid w:val="00F5252D"/>
    <w:rsid w:val="00FA1BC1"/>
    <w:rsid w:val="00FB361A"/>
    <w:rsid w:val="00FD2D84"/>
    <w:rsid w:val="00FF36E2"/>
    <w:rsid w:val="00FF59AE"/>
    <w:rsid w:val="00FF62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690F"/>
    <w:pPr>
      <w:spacing w:after="180"/>
    </w:pPr>
    <w:rPr>
      <w:rFonts w:ascii="Times New Roman" w:eastAsia="ＭＳ 明朝" w:hAnsi="Times New Roman" w:cs="Times New Roman"/>
      <w:kern w:val="0"/>
      <w:sz w:val="22"/>
      <w:szCs w:val="20"/>
      <w:lang w:val="en-GB" w:eastAsia="en-US"/>
    </w:r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7E2FC8"/>
    <w:pPr>
      <w:keepLines/>
      <w:spacing w:before="180"/>
      <w:ind w:left="1134" w:hanging="1134"/>
      <w:outlineLvl w:val="1"/>
    </w:pPr>
    <w:rPr>
      <w:rFonts w:ascii="Arial" w:eastAsia="ＭＳ 明朝" w:hAnsi="Arial" w:cs="Times New Roman"/>
      <w:sz w:val="32"/>
      <w:szCs w:val="20"/>
    </w:rPr>
  </w:style>
  <w:style w:type="paragraph" w:styleId="3">
    <w:name w:val="heading 3"/>
    <w:basedOn w:val="a"/>
    <w:next w:val="a"/>
    <w:link w:val="30"/>
    <w:uiPriority w:val="9"/>
    <w:semiHidden/>
    <w:unhideWhenUsed/>
    <w:qFormat/>
    <w:rsid w:val="00694325"/>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qFormat/>
    <w:rsid w:val="007E2FC8"/>
    <w:pPr>
      <w:keepNext/>
      <w:keepLines/>
      <w:spacing w:after="0"/>
      <w:jc w:val="center"/>
    </w:pPr>
    <w:rPr>
      <w:rFonts w:ascii="Arial" w:hAnsi="Arial"/>
      <w:b/>
      <w:sz w:val="18"/>
    </w:rPr>
  </w:style>
  <w:style w:type="paragraph" w:customStyle="1" w:styleId="TAL">
    <w:name w:val="TAL"/>
    <w:basedOn w:val="a"/>
    <w:link w:val="TALCar"/>
    <w:qFormat/>
    <w:rsid w:val="007E2FC8"/>
    <w:pPr>
      <w:keepNext/>
      <w:keepLines/>
      <w:spacing w:after="0"/>
    </w:pPr>
    <w:rPr>
      <w:rFonts w:ascii="Arial" w:hAnsi="Arial"/>
      <w:sz w:val="18"/>
    </w:rPr>
  </w:style>
  <w:style w:type="paragraph" w:styleId="a7">
    <w:name w:val="Title"/>
    <w:basedOn w:val="a"/>
    <w:link w:val="a8"/>
    <w:qFormat/>
    <w:rsid w:val="007E2FC8"/>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rFonts w:ascii="Arial" w:hAnsi="Arial"/>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styleId="aa">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Task Body"/>
    <w:basedOn w:val="a"/>
    <w:link w:val="ab"/>
    <w:uiPriority w:val="34"/>
    <w:qFormat/>
    <w:rsid w:val="00FF62DA"/>
    <w:pPr>
      <w:ind w:leftChars="400" w:left="840"/>
    </w:pPr>
  </w:style>
  <w:style w:type="table" w:styleId="ac">
    <w:name w:val="Table Grid"/>
    <w:basedOn w:val="a1"/>
    <w:uiPriority w:val="39"/>
    <w:qFormat/>
    <w:rsid w:val="000F2C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a"/>
    <w:uiPriority w:val="34"/>
    <w:qFormat/>
    <w:locked/>
    <w:rsid w:val="000F2C95"/>
    <w:rPr>
      <w:rFonts w:ascii="Times New Roman" w:eastAsia="ＭＳ 明朝" w:hAnsi="Times New Roman" w:cs="Times New Roman"/>
      <w:kern w:val="0"/>
      <w:sz w:val="20"/>
      <w:szCs w:val="20"/>
      <w:lang w:val="en-GB" w:eastAsia="en-US"/>
    </w:rPr>
  </w:style>
  <w:style w:type="table" w:customStyle="1" w:styleId="11">
    <w:name w:val="表 (格子)1"/>
    <w:basedOn w:val="a1"/>
    <w:next w:val="ac"/>
    <w:uiPriority w:val="39"/>
    <w:rsid w:val="00C46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2A2FF9"/>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customStyle="1" w:styleId="21">
    <w:name w:val="表 (格子)2"/>
    <w:basedOn w:val="a1"/>
    <w:next w:val="ac"/>
    <w:uiPriority w:val="39"/>
    <w:rsid w:val="006D27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見出し 3 (文字)"/>
    <w:basedOn w:val="a0"/>
    <w:link w:val="3"/>
    <w:uiPriority w:val="9"/>
    <w:semiHidden/>
    <w:rsid w:val="00694325"/>
    <w:rPr>
      <w:rFonts w:asciiTheme="majorHAnsi" w:eastAsiaTheme="majorEastAsia" w:hAnsiTheme="majorHAnsi" w:cstheme="majorBidi"/>
      <w:kern w:val="0"/>
      <w:sz w:val="22"/>
      <w:szCs w:val="20"/>
      <w:lang w:val="en-GB" w:eastAsia="en-US"/>
    </w:rPr>
  </w:style>
  <w:style w:type="table" w:customStyle="1" w:styleId="31">
    <w:name w:val="表 (格子)3"/>
    <w:basedOn w:val="a1"/>
    <w:next w:val="ac"/>
    <w:uiPriority w:val="39"/>
    <w:rsid w:val="006225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7D6859"/>
    <w:rPr>
      <w:rFonts w:ascii="Times New Roman" w:eastAsia="ＭＳ 明朝" w:hAnsi="Times New Roman" w:cs="Times New Roman"/>
      <w:kern w:val="0"/>
      <w:sz w:val="22"/>
      <w:szCs w:val="20"/>
      <w:lang w:val="en-GB" w:eastAsia="en-US"/>
    </w:rPr>
  </w:style>
  <w:style w:type="paragraph" w:customStyle="1" w:styleId="ObservationandProposal">
    <w:name w:val="Observation and Proposal"/>
    <w:basedOn w:val="a"/>
    <w:link w:val="ObservationandProposal0"/>
    <w:qFormat/>
    <w:rsid w:val="000F1FE0"/>
    <w:pPr>
      <w:ind w:left="1553" w:hangingChars="703" w:hanging="1553"/>
    </w:pPr>
    <w:rPr>
      <w:b/>
      <w:bCs/>
      <w:szCs w:val="22"/>
      <w:lang w:eastAsia="ja-JP"/>
    </w:rPr>
  </w:style>
  <w:style w:type="paragraph" w:customStyle="1" w:styleId="Alt">
    <w:name w:val="Alt"/>
    <w:basedOn w:val="a"/>
    <w:link w:val="Alt0"/>
    <w:qFormat/>
    <w:rsid w:val="00F4104B"/>
    <w:pPr>
      <w:ind w:left="572" w:hangingChars="259" w:hanging="572"/>
    </w:pPr>
    <w:rPr>
      <w:bCs/>
      <w:szCs w:val="22"/>
      <w:lang w:eastAsia="ja-JP"/>
    </w:rPr>
  </w:style>
  <w:style w:type="character" w:customStyle="1" w:styleId="ObservationandProposal0">
    <w:name w:val="Observation and Proposal (文字)"/>
    <w:basedOn w:val="a0"/>
    <w:link w:val="ObservationandProposal"/>
    <w:rsid w:val="000F1FE0"/>
    <w:rPr>
      <w:rFonts w:ascii="Times New Roman" w:eastAsia="ＭＳ 明朝" w:hAnsi="Times New Roman" w:cs="Times New Roman"/>
      <w:b/>
      <w:bCs/>
      <w:kern w:val="0"/>
      <w:sz w:val="22"/>
      <w:lang w:val="en-GB"/>
    </w:rPr>
  </w:style>
  <w:style w:type="character" w:customStyle="1" w:styleId="Alt0">
    <w:name w:val="Alt (文字)"/>
    <w:basedOn w:val="a0"/>
    <w:link w:val="Alt"/>
    <w:rsid w:val="00F4104B"/>
    <w:rPr>
      <w:rFonts w:ascii="Times New Roman" w:eastAsia="ＭＳ 明朝" w:hAnsi="Times New Roman" w:cs="Times New Roman"/>
      <w:bCs/>
      <w:kern w:val="0"/>
      <w:sz w:val="22"/>
      <w:lang w:val="en-GB"/>
    </w:rPr>
  </w:style>
  <w:style w:type="paragraph" w:customStyle="1" w:styleId="B1">
    <w:name w:val="B1"/>
    <w:basedOn w:val="ae"/>
    <w:link w:val="B1Char"/>
    <w:qFormat/>
    <w:rsid w:val="0084658A"/>
    <w:pPr>
      <w:ind w:left="568" w:firstLineChars="0" w:hanging="284"/>
      <w:contextualSpacing w:val="0"/>
    </w:pPr>
    <w:rPr>
      <w:rFonts w:eastAsia="ＭＳ ゴシック"/>
      <w:sz w:val="24"/>
      <w:lang w:eastAsia="ja-JP"/>
    </w:rPr>
  </w:style>
  <w:style w:type="paragraph" w:customStyle="1" w:styleId="B2">
    <w:name w:val="B2"/>
    <w:basedOn w:val="22"/>
    <w:link w:val="B2Char"/>
    <w:qFormat/>
    <w:rsid w:val="0084658A"/>
    <w:pPr>
      <w:overflowPunct w:val="0"/>
      <w:autoSpaceDE w:val="0"/>
      <w:autoSpaceDN w:val="0"/>
      <w:adjustRightInd w:val="0"/>
      <w:ind w:leftChars="0" w:left="851" w:firstLineChars="0" w:hanging="284"/>
      <w:contextualSpacing w:val="0"/>
      <w:textAlignment w:val="baseline"/>
    </w:pPr>
    <w:rPr>
      <w:rFonts w:eastAsia="ＭＳ ゴシック"/>
      <w:sz w:val="24"/>
      <w:lang w:eastAsia="ja-JP"/>
    </w:rPr>
  </w:style>
  <w:style w:type="character" w:customStyle="1" w:styleId="B1Char">
    <w:name w:val="B1 Char"/>
    <w:link w:val="B1"/>
    <w:rsid w:val="0084658A"/>
    <w:rPr>
      <w:rFonts w:ascii="Times New Roman" w:eastAsia="ＭＳ ゴシック" w:hAnsi="Times New Roman" w:cs="Times New Roman"/>
      <w:kern w:val="0"/>
      <w:sz w:val="24"/>
      <w:szCs w:val="20"/>
      <w:lang w:val="en-GB"/>
    </w:rPr>
  </w:style>
  <w:style w:type="character" w:customStyle="1" w:styleId="B2Char">
    <w:name w:val="B2 Char"/>
    <w:link w:val="B2"/>
    <w:qFormat/>
    <w:rsid w:val="0084658A"/>
    <w:rPr>
      <w:rFonts w:ascii="Times New Roman" w:eastAsia="ＭＳ ゴシック" w:hAnsi="Times New Roman" w:cs="Times New Roman"/>
      <w:kern w:val="0"/>
      <w:sz w:val="24"/>
      <w:szCs w:val="20"/>
      <w:lang w:val="en-GB"/>
    </w:rPr>
  </w:style>
  <w:style w:type="paragraph" w:styleId="ae">
    <w:name w:val="List"/>
    <w:basedOn w:val="a"/>
    <w:uiPriority w:val="99"/>
    <w:semiHidden/>
    <w:unhideWhenUsed/>
    <w:rsid w:val="0084658A"/>
    <w:pPr>
      <w:ind w:left="200" w:hangingChars="200" w:hanging="200"/>
      <w:contextualSpacing/>
    </w:pPr>
  </w:style>
  <w:style w:type="paragraph" w:styleId="22">
    <w:name w:val="List 2"/>
    <w:basedOn w:val="a"/>
    <w:uiPriority w:val="99"/>
    <w:semiHidden/>
    <w:unhideWhenUsed/>
    <w:rsid w:val="0084658A"/>
    <w:pPr>
      <w:ind w:leftChars="200" w:left="100" w:hangingChars="200" w:hanging="200"/>
      <w:contextualSpacing/>
    </w:pPr>
  </w:style>
  <w:style w:type="paragraph" w:customStyle="1" w:styleId="PL">
    <w:name w:val="PL"/>
    <w:link w:val="PLChar"/>
    <w:qFormat/>
    <w:rsid w:val="00235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2352A6"/>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7449205">
      <w:bodyDiv w:val="1"/>
      <w:marLeft w:val="0"/>
      <w:marRight w:val="0"/>
      <w:marTop w:val="0"/>
      <w:marBottom w:val="0"/>
      <w:divBdr>
        <w:top w:val="none" w:sz="0" w:space="0" w:color="auto"/>
        <w:left w:val="none" w:sz="0" w:space="0" w:color="auto"/>
        <w:bottom w:val="none" w:sz="0" w:space="0" w:color="auto"/>
        <w:right w:val="none" w:sz="0" w:space="0" w:color="auto"/>
      </w:divBdr>
    </w:div>
    <w:div w:id="829173761">
      <w:bodyDiv w:val="1"/>
      <w:marLeft w:val="0"/>
      <w:marRight w:val="0"/>
      <w:marTop w:val="0"/>
      <w:marBottom w:val="0"/>
      <w:divBdr>
        <w:top w:val="none" w:sz="0" w:space="0" w:color="auto"/>
        <w:left w:val="none" w:sz="0" w:space="0" w:color="auto"/>
        <w:bottom w:val="none" w:sz="0" w:space="0" w:color="auto"/>
        <w:right w:val="none" w:sz="0" w:space="0" w:color="auto"/>
      </w:divBdr>
    </w:div>
    <w:div w:id="832599237">
      <w:bodyDiv w:val="1"/>
      <w:marLeft w:val="0"/>
      <w:marRight w:val="0"/>
      <w:marTop w:val="0"/>
      <w:marBottom w:val="0"/>
      <w:divBdr>
        <w:top w:val="none" w:sz="0" w:space="0" w:color="auto"/>
        <w:left w:val="none" w:sz="0" w:space="0" w:color="auto"/>
        <w:bottom w:val="none" w:sz="0" w:space="0" w:color="auto"/>
        <w:right w:val="none" w:sz="0" w:space="0" w:color="auto"/>
      </w:divBdr>
    </w:div>
    <w:div w:id="1586302771">
      <w:bodyDiv w:val="1"/>
      <w:marLeft w:val="0"/>
      <w:marRight w:val="0"/>
      <w:marTop w:val="0"/>
      <w:marBottom w:val="0"/>
      <w:divBdr>
        <w:top w:val="none" w:sz="0" w:space="0" w:color="auto"/>
        <w:left w:val="none" w:sz="0" w:space="0" w:color="auto"/>
        <w:bottom w:val="none" w:sz="0" w:space="0" w:color="auto"/>
        <w:right w:val="none" w:sz="0" w:space="0" w:color="auto"/>
      </w:divBdr>
    </w:div>
    <w:div w:id="1837648645">
      <w:bodyDiv w:val="1"/>
      <w:marLeft w:val="0"/>
      <w:marRight w:val="0"/>
      <w:marTop w:val="0"/>
      <w:marBottom w:val="0"/>
      <w:divBdr>
        <w:top w:val="none" w:sz="0" w:space="0" w:color="auto"/>
        <w:left w:val="none" w:sz="0" w:space="0" w:color="auto"/>
        <w:bottom w:val="none" w:sz="0" w:space="0" w:color="auto"/>
        <w:right w:val="none" w:sz="0" w:space="0" w:color="auto"/>
      </w:divBdr>
    </w:div>
    <w:div w:id="2125533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97834-05AE-4BE9-99B5-5A9171CD4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892</TotalTime>
  <Pages>3</Pages>
  <Words>772</Words>
  <Characters>4407</Characters>
  <Application>Microsoft Office Word</Application>
  <DocSecurity>0</DocSecurity>
  <Lines>36</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Shoki Inoue (井上 翔貴)</dc:creator>
  <cp:keywords/>
  <dc:description/>
  <cp:lastModifiedBy>Shoki Inoue (井上 翔貴)</cp:lastModifiedBy>
  <cp:revision>6</cp:revision>
  <dcterms:created xsi:type="dcterms:W3CDTF">2023-05-10T19:06:00Z</dcterms:created>
  <dcterms:modified xsi:type="dcterms:W3CDTF">2023-05-12T08:11:00Z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2023-04-13T07:41:35Z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eddf95a8-95b6-422f-9c00-3697dc21dcf5</vt:lpwstr>
  </property>
  <property fmtid="{D5CDD505-2E9C-101B-9397-08002B2CF9AE}" pid="8" name="MSIP_Label_f7b7771f-98a2-4ec9-8160-ee37e9359e20_ContentBits">
    <vt:lpwstr>0</vt:lpwstr>
  </property>
</Properties>
</file>